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EF94" w14:textId="77777777" w:rsidR="009D3154" w:rsidRDefault="00AD1633" w:rsidP="00AD1633">
      <w:pPr>
        <w:jc w:val="center"/>
      </w:pPr>
      <w:r w:rsidRPr="002843AB">
        <w:t xml:space="preserve"> </w:t>
      </w:r>
    </w:p>
    <w:p w14:paraId="0E5CFFCB" w14:textId="77777777" w:rsidR="009D3154" w:rsidRDefault="009D3154" w:rsidP="00AD1633">
      <w:pPr>
        <w:jc w:val="center"/>
      </w:pPr>
    </w:p>
    <w:p w14:paraId="459BC8E2" w14:textId="462ED98E" w:rsidR="00AD1633" w:rsidRPr="002843AB" w:rsidRDefault="00AD1633" w:rsidP="00AD1633">
      <w:pPr>
        <w:jc w:val="center"/>
        <w:rPr>
          <w:b/>
        </w:rPr>
      </w:pPr>
      <w:r w:rsidRPr="002843AB">
        <w:rPr>
          <w:b/>
        </w:rPr>
        <w:t>ПОКАЗАТЕЛИ</w:t>
      </w:r>
    </w:p>
    <w:p w14:paraId="0476572E" w14:textId="77D20447" w:rsidR="00AD1633" w:rsidRPr="002843AB" w:rsidRDefault="00AD1633" w:rsidP="00AD1633">
      <w:pPr>
        <w:jc w:val="center"/>
        <w:rPr>
          <w:b/>
        </w:rPr>
      </w:pPr>
      <w:r w:rsidRPr="002843AB">
        <w:rPr>
          <w:b/>
        </w:rPr>
        <w:t xml:space="preserve"> эффективности развития </w:t>
      </w:r>
      <w:proofErr w:type="spellStart"/>
      <w:r w:rsidR="007221B3" w:rsidRPr="002843AB">
        <w:rPr>
          <w:b/>
        </w:rPr>
        <w:t>Алейниковского</w:t>
      </w:r>
      <w:proofErr w:type="spellEnd"/>
      <w:r w:rsidRPr="002843AB">
        <w:rPr>
          <w:b/>
        </w:rPr>
        <w:t xml:space="preserve"> сельского поселения</w:t>
      </w:r>
    </w:p>
    <w:p w14:paraId="4AFB215A" w14:textId="77777777" w:rsidR="00AD1633" w:rsidRPr="002843AB" w:rsidRDefault="00AD1633" w:rsidP="00AD1633">
      <w:pPr>
        <w:jc w:val="center"/>
        <w:rPr>
          <w:b/>
        </w:rPr>
      </w:pPr>
      <w:r w:rsidRPr="002843AB">
        <w:rPr>
          <w:b/>
        </w:rPr>
        <w:t>Россошанского муниципального района Воронежской области</w:t>
      </w:r>
    </w:p>
    <w:p w14:paraId="1F3B68E4" w14:textId="77777777" w:rsidR="00AD1633" w:rsidRPr="002843AB" w:rsidRDefault="00AD1633" w:rsidP="00AD1633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417"/>
        <w:gridCol w:w="992"/>
        <w:gridCol w:w="1134"/>
        <w:gridCol w:w="1134"/>
        <w:gridCol w:w="3402"/>
      </w:tblGrid>
      <w:tr w:rsidR="002843AB" w:rsidRPr="002843AB" w14:paraId="730AD688" w14:textId="77777777" w:rsidTr="00CF47B2">
        <w:trPr>
          <w:trHeight w:val="246"/>
          <w:tblHeader/>
        </w:trPr>
        <w:tc>
          <w:tcPr>
            <w:tcW w:w="709" w:type="dxa"/>
            <w:vMerge w:val="restart"/>
          </w:tcPr>
          <w:p w14:paraId="4533BB95" w14:textId="77777777" w:rsidR="00AD1633" w:rsidRPr="002843AB" w:rsidRDefault="00AD1633" w:rsidP="009178F1">
            <w:pPr>
              <w:jc w:val="center"/>
            </w:pPr>
            <w:r w:rsidRPr="002843AB">
              <w:t>№ п/п</w:t>
            </w:r>
          </w:p>
        </w:tc>
        <w:tc>
          <w:tcPr>
            <w:tcW w:w="6096" w:type="dxa"/>
            <w:vMerge w:val="restart"/>
          </w:tcPr>
          <w:p w14:paraId="6CB02B47" w14:textId="77777777" w:rsidR="00AD1633" w:rsidRPr="002843AB" w:rsidRDefault="00AD1633" w:rsidP="009178F1">
            <w:pPr>
              <w:jc w:val="center"/>
            </w:pPr>
            <w:r w:rsidRPr="002843AB">
              <w:t xml:space="preserve">Наименование показателя* </w:t>
            </w:r>
          </w:p>
        </w:tc>
        <w:tc>
          <w:tcPr>
            <w:tcW w:w="1417" w:type="dxa"/>
            <w:vMerge w:val="restart"/>
          </w:tcPr>
          <w:p w14:paraId="3D792F11" w14:textId="77777777" w:rsidR="00AD1633" w:rsidRPr="002843AB" w:rsidRDefault="00AD1633" w:rsidP="009178F1">
            <w:pPr>
              <w:jc w:val="center"/>
            </w:pPr>
            <w:r w:rsidRPr="002843AB">
              <w:t>Единица измерения</w:t>
            </w:r>
          </w:p>
        </w:tc>
        <w:tc>
          <w:tcPr>
            <w:tcW w:w="3260" w:type="dxa"/>
            <w:gridSpan w:val="3"/>
          </w:tcPr>
          <w:p w14:paraId="6D0F64C8" w14:textId="77777777" w:rsidR="00AD1633" w:rsidRPr="002843AB" w:rsidRDefault="00AD1633" w:rsidP="009178F1">
            <w:pPr>
              <w:jc w:val="center"/>
            </w:pPr>
            <w:r w:rsidRPr="002843AB">
              <w:t>Значение показателя</w:t>
            </w:r>
          </w:p>
        </w:tc>
        <w:tc>
          <w:tcPr>
            <w:tcW w:w="3402" w:type="dxa"/>
            <w:vMerge w:val="restart"/>
          </w:tcPr>
          <w:p w14:paraId="029A430C" w14:textId="77777777" w:rsidR="00AD1633" w:rsidRPr="002843AB" w:rsidRDefault="00AD1633" w:rsidP="009178F1">
            <w:pPr>
              <w:jc w:val="center"/>
            </w:pPr>
            <w:r w:rsidRPr="002843AB">
              <w:t>Примечание</w:t>
            </w:r>
          </w:p>
        </w:tc>
      </w:tr>
      <w:tr w:rsidR="002843AB" w:rsidRPr="002843AB" w14:paraId="2DEC4FAD" w14:textId="77777777" w:rsidTr="00CF47B2">
        <w:trPr>
          <w:trHeight w:val="246"/>
          <w:tblHeader/>
        </w:trPr>
        <w:tc>
          <w:tcPr>
            <w:tcW w:w="709" w:type="dxa"/>
            <w:vMerge/>
          </w:tcPr>
          <w:p w14:paraId="01D521F0" w14:textId="77777777" w:rsidR="00AD1633" w:rsidRPr="002843AB" w:rsidRDefault="00AD1633" w:rsidP="009178F1">
            <w:pPr>
              <w:jc w:val="center"/>
            </w:pPr>
          </w:p>
        </w:tc>
        <w:tc>
          <w:tcPr>
            <w:tcW w:w="6096" w:type="dxa"/>
            <w:vMerge/>
          </w:tcPr>
          <w:p w14:paraId="6883A869" w14:textId="77777777" w:rsidR="00AD1633" w:rsidRPr="002843AB" w:rsidRDefault="00AD1633" w:rsidP="009178F1">
            <w:pPr>
              <w:jc w:val="center"/>
            </w:pPr>
          </w:p>
        </w:tc>
        <w:tc>
          <w:tcPr>
            <w:tcW w:w="1417" w:type="dxa"/>
            <w:vMerge/>
          </w:tcPr>
          <w:p w14:paraId="1DE0B524" w14:textId="77777777" w:rsidR="00AD1633" w:rsidRPr="002843AB" w:rsidRDefault="00AD1633" w:rsidP="009178F1">
            <w:pPr>
              <w:jc w:val="center"/>
            </w:pPr>
          </w:p>
        </w:tc>
        <w:tc>
          <w:tcPr>
            <w:tcW w:w="992" w:type="dxa"/>
          </w:tcPr>
          <w:p w14:paraId="5091ED42" w14:textId="415CD069" w:rsidR="00AD1633" w:rsidRPr="002843AB" w:rsidRDefault="00AD1633" w:rsidP="007430DC">
            <w:pPr>
              <w:jc w:val="center"/>
            </w:pPr>
            <w:r w:rsidRPr="002843AB">
              <w:t>Факт 202</w:t>
            </w:r>
            <w:r w:rsidR="007430DC" w:rsidRPr="002843AB">
              <w:t>3</w:t>
            </w:r>
          </w:p>
        </w:tc>
        <w:tc>
          <w:tcPr>
            <w:tcW w:w="1134" w:type="dxa"/>
          </w:tcPr>
          <w:p w14:paraId="0947EC40" w14:textId="3B3BB98C" w:rsidR="00AD1633" w:rsidRPr="002843AB" w:rsidRDefault="00AD1633" w:rsidP="007430DC">
            <w:pPr>
              <w:jc w:val="center"/>
            </w:pPr>
            <w:r w:rsidRPr="002843AB">
              <w:t>Факт 202</w:t>
            </w:r>
            <w:r w:rsidR="007430DC" w:rsidRPr="002843AB">
              <w:t>4</w:t>
            </w:r>
          </w:p>
        </w:tc>
        <w:tc>
          <w:tcPr>
            <w:tcW w:w="1134" w:type="dxa"/>
          </w:tcPr>
          <w:p w14:paraId="273EFC9D" w14:textId="19498D65" w:rsidR="00AD1633" w:rsidRPr="002843AB" w:rsidRDefault="00AD1633" w:rsidP="007430DC">
            <w:pPr>
              <w:jc w:val="center"/>
            </w:pPr>
            <w:r w:rsidRPr="002843AB">
              <w:t>План 202</w:t>
            </w:r>
            <w:r w:rsidR="007430DC" w:rsidRPr="002843AB">
              <w:t>4</w:t>
            </w:r>
          </w:p>
        </w:tc>
        <w:tc>
          <w:tcPr>
            <w:tcW w:w="3402" w:type="dxa"/>
            <w:vMerge/>
          </w:tcPr>
          <w:p w14:paraId="366DD0B4" w14:textId="77777777" w:rsidR="00AD1633" w:rsidRPr="002843AB" w:rsidRDefault="00AD1633" w:rsidP="009178F1">
            <w:pPr>
              <w:jc w:val="center"/>
            </w:pPr>
          </w:p>
        </w:tc>
      </w:tr>
      <w:tr w:rsidR="002843AB" w:rsidRPr="002843AB" w14:paraId="113BAB4D" w14:textId="77777777" w:rsidTr="00CF47B2">
        <w:tc>
          <w:tcPr>
            <w:tcW w:w="709" w:type="dxa"/>
          </w:tcPr>
          <w:p w14:paraId="5DB961DC" w14:textId="77777777" w:rsidR="007221B3" w:rsidRPr="002843AB" w:rsidRDefault="007221B3" w:rsidP="007221B3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14:paraId="72012DA3" w14:textId="77777777" w:rsidR="007221B3" w:rsidRPr="002843AB" w:rsidRDefault="007221B3" w:rsidP="007221B3">
            <w:pPr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14:paraId="4875B1C9" w14:textId="6F8976D1" w:rsidR="00593D97" w:rsidRPr="002843AB" w:rsidRDefault="00593D97" w:rsidP="00593D97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066DC3" w:rsidRPr="002843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3445,2/4478,7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)*100=7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6,9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6323DC4" w14:textId="6AD2FB7C" w:rsidR="00593D97" w:rsidRPr="002843AB" w:rsidRDefault="00593D97" w:rsidP="00593D9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066DC3" w:rsidRPr="002843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5553,1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)*100=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61,8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0786890" w14:textId="66677824" w:rsidR="00593D97" w:rsidRPr="002843AB" w:rsidRDefault="00593D97" w:rsidP="00593D97">
            <w:pPr>
              <w:contextualSpacing/>
              <w:jc w:val="both"/>
            </w:pPr>
            <w:r w:rsidRPr="002843AB">
              <w:t>План 202</w:t>
            </w:r>
            <w:r w:rsidR="007430DC" w:rsidRPr="002843AB">
              <w:t>4</w:t>
            </w:r>
            <w:proofErr w:type="gramStart"/>
            <w:r w:rsidRPr="002843AB">
              <w:t>г.(</w:t>
            </w:r>
            <w:proofErr w:type="gramEnd"/>
            <w:r w:rsidR="007430DC" w:rsidRPr="002843AB">
              <w:t>2942,8/5065,5</w:t>
            </w:r>
            <w:r w:rsidRPr="002843AB">
              <w:t>)*100=</w:t>
            </w:r>
            <w:r w:rsidR="007430DC" w:rsidRPr="002843AB">
              <w:t xml:space="preserve">58,1 </w:t>
            </w:r>
            <w:r w:rsidRPr="002843AB">
              <w:t>%</w:t>
            </w:r>
          </w:p>
          <w:p w14:paraId="2BEC0FBD" w14:textId="0E47C299" w:rsidR="00593D97" w:rsidRPr="002843AB" w:rsidRDefault="00593D97" w:rsidP="007221B3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A247ED5" w14:textId="77777777" w:rsidR="007221B3" w:rsidRPr="002843AB" w:rsidRDefault="007221B3" w:rsidP="007221B3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05227B90" w14:textId="4E8C1F77" w:rsidR="007221B3" w:rsidRPr="002843AB" w:rsidRDefault="007430DC" w:rsidP="006041B2">
            <w:pPr>
              <w:jc w:val="center"/>
            </w:pPr>
            <w:r w:rsidRPr="002843AB">
              <w:t>76,9</w:t>
            </w:r>
          </w:p>
        </w:tc>
        <w:tc>
          <w:tcPr>
            <w:tcW w:w="1134" w:type="dxa"/>
          </w:tcPr>
          <w:p w14:paraId="16EAF00C" w14:textId="77B247D4" w:rsidR="007221B3" w:rsidRPr="002843AB" w:rsidRDefault="007430DC" w:rsidP="006041B2">
            <w:pPr>
              <w:jc w:val="center"/>
            </w:pPr>
            <w:r w:rsidRPr="002843AB">
              <w:t>61,8</w:t>
            </w:r>
          </w:p>
        </w:tc>
        <w:tc>
          <w:tcPr>
            <w:tcW w:w="1134" w:type="dxa"/>
          </w:tcPr>
          <w:p w14:paraId="4E07C0B2" w14:textId="5935A7FC" w:rsidR="007221B3" w:rsidRPr="002843AB" w:rsidRDefault="007430DC" w:rsidP="006041B2">
            <w:pPr>
              <w:jc w:val="center"/>
            </w:pPr>
            <w:r w:rsidRPr="002843AB">
              <w:t>58,1</w:t>
            </w:r>
          </w:p>
        </w:tc>
        <w:tc>
          <w:tcPr>
            <w:tcW w:w="3402" w:type="dxa"/>
          </w:tcPr>
          <w:p w14:paraId="52DB5919" w14:textId="729DC80F" w:rsidR="006F44D1" w:rsidRPr="002843AB" w:rsidRDefault="006F44D1" w:rsidP="00ED2908">
            <w:pPr>
              <w:jc w:val="both"/>
            </w:pPr>
            <w:r w:rsidRPr="002843AB">
              <w:t>Сниж</w:t>
            </w:r>
            <w:r w:rsidR="00ED2908">
              <w:t xml:space="preserve">ение </w:t>
            </w:r>
            <w:r w:rsidRPr="002843AB">
              <w:t>пок</w:t>
            </w:r>
            <w:r w:rsidR="00ED2908">
              <w:t>азателя</w:t>
            </w:r>
            <w:r w:rsidRPr="002843AB">
              <w:t xml:space="preserve"> «факт 2024» к «факт 2023»</w:t>
            </w:r>
            <w:r w:rsidR="00ED2908">
              <w:t xml:space="preserve"> </w:t>
            </w:r>
            <w:r w:rsidRPr="002843AB">
              <w:t>на 19,</w:t>
            </w:r>
            <w:r w:rsidR="00ED2908">
              <w:t>6 </w:t>
            </w:r>
            <w:r w:rsidRPr="002843AB">
              <w:t>% обусловлено в 2024</w:t>
            </w:r>
            <w:r w:rsidR="00ED2908">
              <w:t> </w:t>
            </w:r>
            <w:r w:rsidRPr="002843AB">
              <w:t>г.: увеличением на 1089,2 тыс. руб. дотации</w:t>
            </w:r>
            <w:r w:rsidR="00ED2908">
              <w:t xml:space="preserve">, </w:t>
            </w:r>
            <w:r w:rsidRPr="002843AB">
              <w:t>уменьш</w:t>
            </w:r>
            <w:r w:rsidR="00ED2908">
              <w:t>ением</w:t>
            </w:r>
            <w:r w:rsidRPr="002843AB">
              <w:t xml:space="preserve"> объема налогов</w:t>
            </w:r>
            <w:r w:rsidR="00916B25">
              <w:t>ых</w:t>
            </w:r>
            <w:r w:rsidRPr="002843AB">
              <w:t xml:space="preserve"> и нена</w:t>
            </w:r>
            <w:r w:rsidR="00ED2908">
              <w:t>лог</w:t>
            </w:r>
            <w:r w:rsidR="00916B25">
              <w:t>овых</w:t>
            </w:r>
            <w:r w:rsidR="00ED2908">
              <w:t xml:space="preserve"> </w:t>
            </w:r>
            <w:r w:rsidRPr="002843AB">
              <w:t>дох. на 14,</w:t>
            </w:r>
            <w:r w:rsidRPr="00916B25">
              <w:t>8</w:t>
            </w:r>
            <w:r w:rsidR="00916B25">
              <w:t> </w:t>
            </w:r>
            <w:r w:rsidRPr="00916B25">
              <w:t>т</w:t>
            </w:r>
            <w:r w:rsidRPr="002843AB">
              <w:t>.</w:t>
            </w:r>
            <w:r w:rsidR="00916B25">
              <w:t> </w:t>
            </w:r>
            <w:r w:rsidRPr="002843AB">
              <w:t>р.  (ЕСХН)</w:t>
            </w:r>
          </w:p>
          <w:p w14:paraId="1A783951" w14:textId="3A8DFB85" w:rsidR="007221B3" w:rsidRPr="002843AB" w:rsidRDefault="00ED2908" w:rsidP="00ED2908">
            <w:pPr>
              <w:jc w:val="both"/>
            </w:pPr>
            <w:r>
              <w:t xml:space="preserve"> Увеличение </w:t>
            </w:r>
            <w:r w:rsidR="006F44D1" w:rsidRPr="002843AB">
              <w:t>показ</w:t>
            </w:r>
            <w:r>
              <w:t>ателя</w:t>
            </w:r>
            <w:r w:rsidR="006F44D1" w:rsidRPr="002843AB">
              <w:t xml:space="preserve">  «факт 2024» к «план 2024» на 6,</w:t>
            </w:r>
            <w:r>
              <w:t>4 </w:t>
            </w:r>
            <w:r w:rsidR="006F44D1" w:rsidRPr="002843AB">
              <w:t>% обусловлен</w:t>
            </w:r>
            <w:r>
              <w:t>о</w:t>
            </w:r>
            <w:r w:rsidR="006F44D1" w:rsidRPr="002843AB">
              <w:t xml:space="preserve"> увеличением поступл</w:t>
            </w:r>
            <w:r>
              <w:t>ения</w:t>
            </w:r>
            <w:r w:rsidR="006F44D1" w:rsidRPr="002843AB">
              <w:t xml:space="preserve"> налог и </w:t>
            </w:r>
            <w:proofErr w:type="spellStart"/>
            <w:r w:rsidR="006F44D1" w:rsidRPr="002843AB">
              <w:t>неналог</w:t>
            </w:r>
            <w:proofErr w:type="spellEnd"/>
            <w:r w:rsidR="006F44D1" w:rsidRPr="002843AB">
              <w:t xml:space="preserve"> дох</w:t>
            </w:r>
            <w:r>
              <w:t xml:space="preserve">одов </w:t>
            </w:r>
            <w:r w:rsidR="006F44D1" w:rsidRPr="002843AB">
              <w:t>на 487,6 т.</w:t>
            </w:r>
            <w:r>
              <w:t> </w:t>
            </w:r>
            <w:r w:rsidR="006F44D1" w:rsidRPr="002843AB">
              <w:t>р.</w:t>
            </w:r>
            <w:r>
              <w:t> </w:t>
            </w:r>
            <w:r w:rsidR="006F44D1" w:rsidRPr="002843AB">
              <w:t xml:space="preserve">(ЕСХН, </w:t>
            </w:r>
            <w:proofErr w:type="spellStart"/>
            <w:r w:rsidR="006F44D1" w:rsidRPr="002843AB">
              <w:t>зем</w:t>
            </w:r>
            <w:proofErr w:type="spellEnd"/>
            <w:r w:rsidR="006F44D1" w:rsidRPr="002843AB">
              <w:t>.</w:t>
            </w:r>
            <w:r>
              <w:t> </w:t>
            </w:r>
            <w:r w:rsidR="006F44D1" w:rsidRPr="002843AB">
              <w:t xml:space="preserve">налог, </w:t>
            </w:r>
            <w:r>
              <w:t>НИФЛ</w:t>
            </w:r>
            <w:r w:rsidR="006F44D1" w:rsidRPr="002843AB">
              <w:t xml:space="preserve">)  </w:t>
            </w:r>
          </w:p>
        </w:tc>
      </w:tr>
      <w:tr w:rsidR="002843AB" w:rsidRPr="002843AB" w14:paraId="7EE3C610" w14:textId="77777777" w:rsidTr="00CF47B2">
        <w:tc>
          <w:tcPr>
            <w:tcW w:w="709" w:type="dxa"/>
          </w:tcPr>
          <w:p w14:paraId="39275867" w14:textId="77777777" w:rsidR="007221B3" w:rsidRPr="002843AB" w:rsidRDefault="007221B3" w:rsidP="007221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13F2A3F8" w14:textId="77777777" w:rsidR="007221B3" w:rsidRPr="002843AB" w:rsidRDefault="007221B3" w:rsidP="007221B3">
            <w:pPr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  <w:p w14:paraId="46611ABF" w14:textId="73679675" w:rsidR="00593D97" w:rsidRPr="002843AB" w:rsidRDefault="00593D97" w:rsidP="00593D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г. (2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39,8/2585,</w:t>
            </w:r>
            <w:proofErr w:type="gramStart"/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100=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64BEF20" w14:textId="3E5674E7" w:rsidR="00593D97" w:rsidRPr="002843AB" w:rsidRDefault="00593D97" w:rsidP="00593D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г. (23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100= 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A215B04" w14:textId="1D86256C" w:rsidR="00593D97" w:rsidRPr="002843AB" w:rsidRDefault="00593D97" w:rsidP="00593D9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100=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8,8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577406F" w14:textId="7E977865" w:rsidR="00593D97" w:rsidRPr="002843AB" w:rsidRDefault="00593D97" w:rsidP="007221B3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AEFB412" w14:textId="77777777" w:rsidR="007221B3" w:rsidRPr="002843AB" w:rsidRDefault="007221B3" w:rsidP="007221B3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18DBF6E6" w14:textId="1C7C2D04" w:rsidR="007221B3" w:rsidRPr="002843AB" w:rsidRDefault="007430DC" w:rsidP="007221B3">
            <w:pPr>
              <w:jc w:val="center"/>
            </w:pPr>
            <w:r w:rsidRPr="002843AB">
              <w:t>9,3</w:t>
            </w:r>
          </w:p>
        </w:tc>
        <w:tc>
          <w:tcPr>
            <w:tcW w:w="1134" w:type="dxa"/>
          </w:tcPr>
          <w:p w14:paraId="499B9FA9" w14:textId="4A1B1083" w:rsidR="007221B3" w:rsidRPr="002843AB" w:rsidRDefault="007430DC" w:rsidP="007221B3">
            <w:pPr>
              <w:jc w:val="center"/>
            </w:pPr>
            <w:r w:rsidRPr="002843AB">
              <w:t>9,9</w:t>
            </w:r>
          </w:p>
        </w:tc>
        <w:tc>
          <w:tcPr>
            <w:tcW w:w="1134" w:type="dxa"/>
          </w:tcPr>
          <w:p w14:paraId="7248E285" w14:textId="4485B408" w:rsidR="007221B3" w:rsidRPr="002843AB" w:rsidRDefault="007430DC" w:rsidP="007221B3">
            <w:pPr>
              <w:jc w:val="center"/>
            </w:pPr>
            <w:r w:rsidRPr="002843AB">
              <w:t>8,8</w:t>
            </w:r>
          </w:p>
        </w:tc>
        <w:tc>
          <w:tcPr>
            <w:tcW w:w="3402" w:type="dxa"/>
          </w:tcPr>
          <w:p w14:paraId="7126F722" w14:textId="6285E697" w:rsidR="007221B3" w:rsidRPr="002843AB" w:rsidRDefault="006F44D1" w:rsidP="00074705">
            <w:pPr>
              <w:jc w:val="both"/>
            </w:pPr>
            <w:r w:rsidRPr="002843AB">
              <w:t>Увеличение показателя</w:t>
            </w:r>
            <w:r w:rsidR="00ED2908">
              <w:t xml:space="preserve"> </w:t>
            </w:r>
            <w:r w:rsidRPr="002843AB">
              <w:t>«факт   2024 г.» к «факту 2023</w:t>
            </w:r>
            <w:r w:rsidR="00ED2908">
              <w:t xml:space="preserve"> </w:t>
            </w:r>
            <w:r w:rsidRPr="002843AB">
              <w:t>г.»</w:t>
            </w:r>
            <w:r w:rsidR="00ED2908">
              <w:t xml:space="preserve"> </w:t>
            </w:r>
            <w:r w:rsidRPr="002843AB">
              <w:t>на 6,5</w:t>
            </w:r>
            <w:r w:rsidR="00916B25">
              <w:t> </w:t>
            </w:r>
            <w:r w:rsidRPr="002843AB">
              <w:t>% обусловлено снижение</w:t>
            </w:r>
            <w:r w:rsidR="00ED2908">
              <w:t>м</w:t>
            </w:r>
            <w:r w:rsidRPr="002843AB">
              <w:t xml:space="preserve"> поступления налога на 257,2 т.</w:t>
            </w:r>
            <w:r w:rsidR="00ED2908">
              <w:t> </w:t>
            </w:r>
            <w:r w:rsidRPr="002843AB">
              <w:t>руб.</w:t>
            </w:r>
            <w:r w:rsidR="00ED2908">
              <w:t xml:space="preserve"> </w:t>
            </w:r>
            <w:r w:rsidRPr="002843AB">
              <w:t>(проведена камеральная проверка за три предшествующих года, налог указан без учета сумм списания)</w:t>
            </w:r>
            <w:r w:rsidR="00ED2908">
              <w:t>. Н</w:t>
            </w:r>
            <w:r w:rsidRPr="002843AB">
              <w:t>едоимк</w:t>
            </w:r>
            <w:r w:rsidR="00ED2908">
              <w:t xml:space="preserve">а снизилась </w:t>
            </w:r>
            <w:r w:rsidRPr="002843AB">
              <w:t>на 9,1</w:t>
            </w:r>
            <w:r w:rsidR="00ED2908">
              <w:t> </w:t>
            </w:r>
            <w:r w:rsidRPr="002843AB">
              <w:t>т.</w:t>
            </w:r>
            <w:r w:rsidR="00ED2908">
              <w:t> </w:t>
            </w:r>
            <w:r w:rsidRPr="002843AB">
              <w:t>р.   Увеличение значения пок</w:t>
            </w:r>
            <w:r w:rsidR="00ED2908">
              <w:t>азателя «Факт 2024 г.» к «План</w:t>
            </w:r>
            <w:r w:rsidRPr="002843AB">
              <w:t xml:space="preserve"> 2024» </w:t>
            </w:r>
            <w:r w:rsidR="00ED2908">
              <w:t>н</w:t>
            </w:r>
            <w:r w:rsidRPr="002843AB">
              <w:t>а 12,5</w:t>
            </w:r>
            <w:r w:rsidR="00916B25">
              <w:t> </w:t>
            </w:r>
            <w:r w:rsidRPr="002843AB">
              <w:t xml:space="preserve">% обусловлено </w:t>
            </w:r>
            <w:r w:rsidR="00ED2908" w:rsidRPr="002843AB">
              <w:t xml:space="preserve">увеличением фактической недоимки на </w:t>
            </w:r>
            <w:r w:rsidR="00ED2908" w:rsidRPr="002843AB">
              <w:lastRenderedPageBreak/>
              <w:t>50,6</w:t>
            </w:r>
            <w:r w:rsidR="00074705">
              <w:t> </w:t>
            </w:r>
            <w:r w:rsidR="00ED2908" w:rsidRPr="002843AB">
              <w:t>т.</w:t>
            </w:r>
            <w:r w:rsidR="00074705">
              <w:t> </w:t>
            </w:r>
            <w:r w:rsidR="00ED2908" w:rsidRPr="002843AB">
              <w:t xml:space="preserve">руб. </w:t>
            </w:r>
            <w:r w:rsidR="00ED2908">
              <w:t>(</w:t>
            </w:r>
            <w:r w:rsidR="00074705">
              <w:t xml:space="preserve">доначисление </w:t>
            </w:r>
            <w:r w:rsidR="00ED2908" w:rsidRPr="002843AB">
              <w:t>задолженности за 2023 год</w:t>
            </w:r>
            <w:r w:rsidR="00ED2908">
              <w:t>).</w:t>
            </w:r>
            <w:r w:rsidRPr="002843AB">
              <w:t xml:space="preserve"> </w:t>
            </w:r>
          </w:p>
        </w:tc>
      </w:tr>
      <w:tr w:rsidR="002843AB" w:rsidRPr="002843AB" w14:paraId="4BE5C07B" w14:textId="77777777" w:rsidTr="00CF47B2">
        <w:tc>
          <w:tcPr>
            <w:tcW w:w="709" w:type="dxa"/>
          </w:tcPr>
          <w:p w14:paraId="0332579E" w14:textId="77777777" w:rsidR="007221B3" w:rsidRPr="002843AB" w:rsidRDefault="007221B3" w:rsidP="007221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2C2D6110" w14:textId="77777777" w:rsidR="007221B3" w:rsidRPr="002843AB" w:rsidRDefault="007221B3" w:rsidP="007221B3">
            <w:pPr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  <w:p w14:paraId="03549FFA" w14:textId="2188983B" w:rsidR="00593D97" w:rsidRPr="002843AB" w:rsidRDefault="00593D97" w:rsidP="00593D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F1C1D" w:rsidRPr="002843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)*100=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55,6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089F024" w14:textId="1C749A67" w:rsidR="00593D97" w:rsidRPr="002843AB" w:rsidRDefault="00593D97" w:rsidP="00593D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акт 2024</w:t>
            </w:r>
            <w:proofErr w:type="gramStart"/>
            <w:r w:rsidR="00FF1C1D" w:rsidRPr="002843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)*100=</w:t>
            </w:r>
            <w:r w:rsidR="007430DC"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9,1 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6CE895F" w14:textId="6CCEAC55" w:rsidR="00593D97" w:rsidRPr="002843AB" w:rsidRDefault="007430DC" w:rsidP="00593D97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План 2024</w:t>
            </w:r>
            <w:proofErr w:type="gramStart"/>
            <w:r w:rsidR="00FF1C1D" w:rsidRPr="002843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93D97" w:rsidRPr="0028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27,3/260</w:t>
            </w:r>
            <w:r w:rsidR="00593D97" w:rsidRPr="002843AB">
              <w:rPr>
                <w:rFonts w:ascii="Times New Roman" w:hAnsi="Times New Roman" w:cs="Times New Roman"/>
                <w:sz w:val="24"/>
                <w:szCs w:val="24"/>
              </w:rPr>
              <w:t>)*100=</w:t>
            </w: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  <w:r w:rsidR="00593D97" w:rsidRPr="002843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D57E8FE" w14:textId="5B2817FE" w:rsidR="00593D97" w:rsidRPr="002843AB" w:rsidRDefault="00593D97" w:rsidP="007221B3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09232A3" w14:textId="77777777" w:rsidR="007221B3" w:rsidRPr="002843AB" w:rsidRDefault="007221B3" w:rsidP="007221B3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33AD8A4E" w14:textId="5D50080A" w:rsidR="007221B3" w:rsidRPr="002843AB" w:rsidRDefault="007430DC" w:rsidP="00FF1C1D">
            <w:pPr>
              <w:jc w:val="center"/>
            </w:pPr>
            <w:r w:rsidRPr="002843AB">
              <w:t>55,6</w:t>
            </w:r>
          </w:p>
        </w:tc>
        <w:tc>
          <w:tcPr>
            <w:tcW w:w="1134" w:type="dxa"/>
          </w:tcPr>
          <w:p w14:paraId="239FAC2D" w14:textId="42D9DA22" w:rsidR="007221B3" w:rsidRPr="002843AB" w:rsidRDefault="007430DC" w:rsidP="00FF1C1D">
            <w:pPr>
              <w:jc w:val="center"/>
            </w:pPr>
            <w:r w:rsidRPr="002843AB">
              <w:t>9,1</w:t>
            </w:r>
          </w:p>
        </w:tc>
        <w:tc>
          <w:tcPr>
            <w:tcW w:w="1134" w:type="dxa"/>
          </w:tcPr>
          <w:p w14:paraId="3F9D0C05" w14:textId="767DD34D" w:rsidR="007221B3" w:rsidRPr="002843AB" w:rsidRDefault="007430DC" w:rsidP="00FF1C1D">
            <w:pPr>
              <w:jc w:val="center"/>
            </w:pPr>
            <w:r w:rsidRPr="002843AB">
              <w:t>10,5</w:t>
            </w:r>
          </w:p>
        </w:tc>
        <w:tc>
          <w:tcPr>
            <w:tcW w:w="3402" w:type="dxa"/>
          </w:tcPr>
          <w:p w14:paraId="06E2F536" w14:textId="27DD1855" w:rsidR="007221B3" w:rsidRPr="002843AB" w:rsidRDefault="006F44D1" w:rsidP="00916B25">
            <w:pPr>
              <w:jc w:val="both"/>
            </w:pPr>
            <w:r w:rsidRPr="002843AB">
              <w:rPr>
                <w:sz w:val="22"/>
                <w:szCs w:val="22"/>
              </w:rPr>
              <w:t>Снижение значение показателя «</w:t>
            </w:r>
            <w:r w:rsidR="00916B25">
              <w:rPr>
                <w:sz w:val="22"/>
                <w:szCs w:val="22"/>
              </w:rPr>
              <w:t>Ф</w:t>
            </w:r>
            <w:r w:rsidRPr="002843AB">
              <w:rPr>
                <w:sz w:val="22"/>
                <w:szCs w:val="22"/>
              </w:rPr>
              <w:t>акт 2024»  к «Факт 2023» на -83,6% обусловлено увеличением поступления налога на 147,3 тыс. руб. (</w:t>
            </w:r>
            <w:r w:rsidR="00ED2908">
              <w:rPr>
                <w:sz w:val="22"/>
                <w:szCs w:val="22"/>
              </w:rPr>
              <w:t>новый плательщик  Яковенко</w:t>
            </w:r>
            <w:r w:rsidRPr="002843AB">
              <w:rPr>
                <w:sz w:val="22"/>
                <w:szCs w:val="22"/>
              </w:rPr>
              <w:t>)   и снижением    недоимки  на 93,9  тыс. руб. Снижение  значения показателя «</w:t>
            </w:r>
            <w:r w:rsidR="00916B25">
              <w:rPr>
                <w:sz w:val="22"/>
                <w:szCs w:val="22"/>
              </w:rPr>
              <w:t>Факт  2024» к «П</w:t>
            </w:r>
            <w:r w:rsidRPr="002843AB">
              <w:rPr>
                <w:sz w:val="22"/>
                <w:szCs w:val="22"/>
              </w:rPr>
              <w:t>лан 2024» на 13,3</w:t>
            </w:r>
            <w:r w:rsidR="00ED2908">
              <w:rPr>
                <w:sz w:val="22"/>
                <w:szCs w:val="22"/>
              </w:rPr>
              <w:t> </w:t>
            </w:r>
            <w:r w:rsidRPr="002843AB">
              <w:rPr>
                <w:sz w:val="22"/>
                <w:szCs w:val="22"/>
              </w:rPr>
              <w:t>% обусловлено  увеличением поступления налога на  117,6 тыс. руб. (уплата задолженно</w:t>
            </w:r>
            <w:r w:rsidR="00074705">
              <w:rPr>
                <w:sz w:val="22"/>
                <w:szCs w:val="22"/>
              </w:rPr>
              <w:t>сти и новый плательщик Яковенко</w:t>
            </w:r>
            <w:r w:rsidRPr="002843AB">
              <w:rPr>
                <w:sz w:val="22"/>
                <w:szCs w:val="22"/>
              </w:rPr>
              <w:t>)</w:t>
            </w:r>
            <w:r w:rsidR="00916B25">
              <w:rPr>
                <w:sz w:val="22"/>
                <w:szCs w:val="22"/>
              </w:rPr>
              <w:t>.</w:t>
            </w:r>
          </w:p>
        </w:tc>
      </w:tr>
      <w:tr w:rsidR="002843AB" w:rsidRPr="002843AB" w14:paraId="29DD3CEE" w14:textId="77777777" w:rsidTr="00CF47B2">
        <w:tc>
          <w:tcPr>
            <w:tcW w:w="709" w:type="dxa"/>
          </w:tcPr>
          <w:p w14:paraId="4815FA70" w14:textId="77777777" w:rsidR="007221B3" w:rsidRPr="002843AB" w:rsidRDefault="007221B3" w:rsidP="007221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E3566AB" w14:textId="77777777" w:rsidR="007221B3" w:rsidRPr="002843AB" w:rsidRDefault="007221B3" w:rsidP="007221B3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7" w:type="dxa"/>
          </w:tcPr>
          <w:p w14:paraId="31B068A4" w14:textId="77777777" w:rsidR="007221B3" w:rsidRPr="002843AB" w:rsidRDefault="007221B3" w:rsidP="007221B3">
            <w:pPr>
              <w:ind w:left="-108" w:right="-107"/>
              <w:contextualSpacing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57AB3019" w14:textId="29A81DA9" w:rsidR="007221B3" w:rsidRPr="002843AB" w:rsidRDefault="007430DC" w:rsidP="007221B3">
            <w:pPr>
              <w:jc w:val="center"/>
            </w:pPr>
            <w:r w:rsidRPr="002843AB">
              <w:t>4</w:t>
            </w:r>
          </w:p>
        </w:tc>
        <w:tc>
          <w:tcPr>
            <w:tcW w:w="1134" w:type="dxa"/>
          </w:tcPr>
          <w:p w14:paraId="5D6104B9" w14:textId="13F3280B" w:rsidR="007221B3" w:rsidRPr="0056784A" w:rsidRDefault="00916B25" w:rsidP="007221B3">
            <w:pPr>
              <w:jc w:val="center"/>
            </w:pPr>
            <w:r w:rsidRPr="0056784A">
              <w:t>3</w:t>
            </w:r>
          </w:p>
        </w:tc>
        <w:tc>
          <w:tcPr>
            <w:tcW w:w="1134" w:type="dxa"/>
          </w:tcPr>
          <w:p w14:paraId="6DFF1EA5" w14:textId="1469773E" w:rsidR="007221B3" w:rsidRPr="002843AB" w:rsidRDefault="007430DC" w:rsidP="007221B3">
            <w:pPr>
              <w:jc w:val="center"/>
            </w:pPr>
            <w:r w:rsidRPr="002843AB">
              <w:t>5</w:t>
            </w:r>
          </w:p>
        </w:tc>
        <w:tc>
          <w:tcPr>
            <w:tcW w:w="3402" w:type="dxa"/>
          </w:tcPr>
          <w:p w14:paraId="4C25C3BA" w14:textId="77777777" w:rsidR="000A45F8" w:rsidRPr="0021768C" w:rsidRDefault="000A45F8" w:rsidP="000A45F8">
            <w:r w:rsidRPr="0021768C">
              <w:t>Факт 202</w:t>
            </w:r>
            <w:r>
              <w:t>4</w:t>
            </w:r>
            <w:r w:rsidRPr="0021768C">
              <w:t xml:space="preserve"> </w:t>
            </w:r>
          </w:p>
          <w:p w14:paraId="5FD2A204" w14:textId="2432C778" w:rsidR="000A45F8" w:rsidRPr="0021768C" w:rsidRDefault="000A45F8" w:rsidP="000A45F8">
            <w:r w:rsidRPr="0021768C">
              <w:t xml:space="preserve">1.  </w:t>
            </w:r>
            <w:r>
              <w:t>ГП «</w:t>
            </w:r>
            <w:r w:rsidRPr="0021768C">
              <w:t>Развитие физической культуры и спорта</w:t>
            </w:r>
            <w:r>
              <w:t>»</w:t>
            </w:r>
            <w:r w:rsidRPr="0021768C">
              <w:t xml:space="preserve">  </w:t>
            </w:r>
          </w:p>
          <w:p w14:paraId="2E9E5F6D" w14:textId="196FB38F" w:rsidR="000A45F8" w:rsidRPr="0021768C" w:rsidRDefault="000A45F8" w:rsidP="000A45F8">
            <w:r w:rsidRPr="0021768C">
              <w:t xml:space="preserve">2.  </w:t>
            </w:r>
            <w:r>
              <w:t>ГП «</w:t>
            </w:r>
            <w:r w:rsidRPr="0021768C">
              <w:rPr>
                <w:color w:val="000000"/>
              </w:rPr>
              <w:t>Энергосбережение и повышение энергетической эффективности</w:t>
            </w:r>
            <w:r>
              <w:rPr>
                <w:color w:val="000000"/>
              </w:rPr>
              <w:t>»</w:t>
            </w:r>
            <w:r w:rsidRPr="0021768C">
              <w:rPr>
                <w:color w:val="000000"/>
              </w:rPr>
              <w:t xml:space="preserve"> </w:t>
            </w:r>
            <w:r w:rsidRPr="0021768C">
              <w:t xml:space="preserve"> </w:t>
            </w:r>
          </w:p>
          <w:p w14:paraId="6F47A04A" w14:textId="0200B8BD" w:rsidR="007221B3" w:rsidRPr="002843AB" w:rsidRDefault="000A45F8" w:rsidP="00916B25">
            <w:r>
              <w:t>3</w:t>
            </w:r>
            <w:r w:rsidRPr="0021768C">
              <w:t>.</w:t>
            </w:r>
            <w:r w:rsidRPr="002176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ГП «Содействие занятости населения»</w:t>
            </w:r>
          </w:p>
        </w:tc>
      </w:tr>
      <w:tr w:rsidR="002843AB" w:rsidRPr="002843AB" w14:paraId="70A8AA7C" w14:textId="77777777" w:rsidTr="00CF47B2">
        <w:tc>
          <w:tcPr>
            <w:tcW w:w="709" w:type="dxa"/>
          </w:tcPr>
          <w:p w14:paraId="27774EA7" w14:textId="77777777" w:rsidR="00CB3EFE" w:rsidRPr="002843AB" w:rsidRDefault="00CB3EFE" w:rsidP="00CB3EF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27112E7E" w14:textId="40E9CE7F" w:rsidR="00CF47B2" w:rsidRPr="002843AB" w:rsidRDefault="00CB3EFE" w:rsidP="00CF47B2">
            <w:pPr>
              <w:contextualSpacing/>
              <w:jc w:val="both"/>
            </w:pPr>
            <w:r w:rsidRPr="002843AB">
              <w:rPr>
                <w:b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2843AB">
              <w:rPr>
                <w:b/>
              </w:rPr>
              <w:tab/>
            </w:r>
          </w:p>
        </w:tc>
        <w:tc>
          <w:tcPr>
            <w:tcW w:w="1417" w:type="dxa"/>
          </w:tcPr>
          <w:p w14:paraId="593158BC" w14:textId="77777777" w:rsidR="00CB3EFE" w:rsidRPr="002843AB" w:rsidRDefault="00CB3EFE" w:rsidP="00CB3EFE">
            <w:pPr>
              <w:ind w:left="-108" w:right="-107"/>
              <w:contextualSpacing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552610A4" w14:textId="7490B0EB" w:rsidR="00CB3EFE" w:rsidRPr="002843AB" w:rsidRDefault="00CB3EFE" w:rsidP="00CB3EFE">
            <w:pPr>
              <w:jc w:val="center"/>
            </w:pPr>
            <w:r w:rsidRPr="002843AB">
              <w:t>1</w:t>
            </w:r>
          </w:p>
        </w:tc>
        <w:tc>
          <w:tcPr>
            <w:tcW w:w="1134" w:type="dxa"/>
          </w:tcPr>
          <w:p w14:paraId="30595672" w14:textId="66587947" w:rsidR="00CB3EFE" w:rsidRPr="002843AB" w:rsidRDefault="007430DC" w:rsidP="00CB3EFE">
            <w:pPr>
              <w:jc w:val="center"/>
            </w:pPr>
            <w:r w:rsidRPr="002843AB">
              <w:t>0</w:t>
            </w:r>
          </w:p>
        </w:tc>
        <w:tc>
          <w:tcPr>
            <w:tcW w:w="1134" w:type="dxa"/>
          </w:tcPr>
          <w:p w14:paraId="6E561858" w14:textId="4FBD22F7" w:rsidR="00CB3EFE" w:rsidRPr="002843AB" w:rsidRDefault="00CB3EFE" w:rsidP="00CB3EFE">
            <w:pPr>
              <w:jc w:val="center"/>
            </w:pPr>
            <w:r w:rsidRPr="002843AB">
              <w:t>1</w:t>
            </w:r>
          </w:p>
        </w:tc>
        <w:tc>
          <w:tcPr>
            <w:tcW w:w="3402" w:type="dxa"/>
          </w:tcPr>
          <w:p w14:paraId="77F0EC5D" w14:textId="67FB3DA2" w:rsidR="00CB3EFE" w:rsidRPr="00174CB4" w:rsidRDefault="002843AB" w:rsidP="00916B25">
            <w:pPr>
              <w:jc w:val="both"/>
            </w:pPr>
            <w:r w:rsidRPr="00174CB4">
              <w:t>Администрация поселения у</w:t>
            </w:r>
            <w:r w:rsidR="006F44D1" w:rsidRPr="00174CB4">
              <w:t>частвовал</w:t>
            </w:r>
            <w:r w:rsidRPr="00174CB4">
              <w:t>а</w:t>
            </w:r>
            <w:r w:rsidR="006F44D1" w:rsidRPr="00174CB4">
              <w:t xml:space="preserve"> в конкурсе</w:t>
            </w:r>
            <w:r w:rsidRPr="00174CB4">
              <w:t xml:space="preserve"> </w:t>
            </w:r>
            <w:r w:rsidR="006F44D1" w:rsidRPr="00174CB4">
              <w:t xml:space="preserve">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</w:t>
            </w:r>
            <w:r w:rsidR="006F44D1" w:rsidRPr="00174CB4">
              <w:lastRenderedPageBreak/>
              <w:t>самоуправления в иных формах»</w:t>
            </w:r>
            <w:r w:rsidR="00A63FF1" w:rsidRPr="00174CB4">
              <w:t>, но конкурс не засчитали.</w:t>
            </w:r>
          </w:p>
        </w:tc>
      </w:tr>
      <w:tr w:rsidR="002843AB" w:rsidRPr="002843AB" w14:paraId="73558E65" w14:textId="77777777" w:rsidTr="00CF47B2">
        <w:tc>
          <w:tcPr>
            <w:tcW w:w="709" w:type="dxa"/>
          </w:tcPr>
          <w:p w14:paraId="11A15D3F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7682F9A6" w14:textId="46E8E6A1" w:rsidR="00A63FF1" w:rsidRPr="002843AB" w:rsidRDefault="00A63FF1" w:rsidP="00A63FF1">
            <w:pPr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>Участие органов ТОС в реализации  общественно полезных проектов (мероприятий) территориального общественного самоуправления</w:t>
            </w:r>
          </w:p>
        </w:tc>
        <w:tc>
          <w:tcPr>
            <w:tcW w:w="1417" w:type="dxa"/>
          </w:tcPr>
          <w:p w14:paraId="19B04540" w14:textId="34569355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1A5D6A1D" w14:textId="4F83EB29" w:rsidR="00A63FF1" w:rsidRPr="002843AB" w:rsidRDefault="00A63FF1" w:rsidP="00A63FF1">
            <w:pPr>
              <w:jc w:val="center"/>
              <w:rPr>
                <w:highlight w:val="yellow"/>
              </w:rPr>
            </w:pPr>
            <w:r w:rsidRPr="002843AB">
              <w:t>1</w:t>
            </w:r>
          </w:p>
        </w:tc>
        <w:tc>
          <w:tcPr>
            <w:tcW w:w="1134" w:type="dxa"/>
          </w:tcPr>
          <w:p w14:paraId="0CBCA76A" w14:textId="50B7D622" w:rsidR="00A63FF1" w:rsidRPr="002843AB" w:rsidRDefault="00A63FF1" w:rsidP="00A63FF1">
            <w:pPr>
              <w:jc w:val="center"/>
            </w:pPr>
            <w:r w:rsidRPr="002843AB">
              <w:t>2</w:t>
            </w:r>
          </w:p>
        </w:tc>
        <w:tc>
          <w:tcPr>
            <w:tcW w:w="1134" w:type="dxa"/>
          </w:tcPr>
          <w:p w14:paraId="3C6F4EEC" w14:textId="52E27655" w:rsidR="00A63FF1" w:rsidRPr="002843AB" w:rsidRDefault="00A63FF1" w:rsidP="00A63FF1">
            <w:pPr>
              <w:jc w:val="center"/>
            </w:pPr>
            <w:r w:rsidRPr="002843AB">
              <w:t>2</w:t>
            </w:r>
          </w:p>
        </w:tc>
        <w:tc>
          <w:tcPr>
            <w:tcW w:w="3402" w:type="dxa"/>
          </w:tcPr>
          <w:p w14:paraId="03481A5C" w14:textId="77777777" w:rsidR="00A63FF1" w:rsidRPr="00174CB4" w:rsidRDefault="00A63FF1" w:rsidP="00A63FF1">
            <w:pPr>
              <w:jc w:val="both"/>
            </w:pPr>
            <w:r w:rsidRPr="00174CB4">
              <w:rPr>
                <w:b/>
                <w:bCs/>
                <w:u w:val="single"/>
              </w:rPr>
              <w:t>Факт 2024 год:</w:t>
            </w:r>
          </w:p>
          <w:p w14:paraId="0027DAE5" w14:textId="77777777" w:rsidR="00A63FF1" w:rsidRPr="00174CB4" w:rsidRDefault="00A63FF1" w:rsidP="00A63FF1">
            <w:pPr>
              <w:jc w:val="both"/>
            </w:pPr>
            <w:r w:rsidRPr="00174CB4">
              <w:t xml:space="preserve"> ТОС «Хуторок» заявка «Журавли памяти»</w:t>
            </w:r>
          </w:p>
          <w:p w14:paraId="140541C3" w14:textId="77777777" w:rsidR="00A63FF1" w:rsidRPr="00174CB4" w:rsidRDefault="00A63FF1" w:rsidP="00A63FF1">
            <w:pPr>
              <w:jc w:val="both"/>
            </w:pPr>
            <w:r w:rsidRPr="00174CB4">
              <w:t xml:space="preserve">ТОС «Росток» - заявка на обустройство детской площадки «Дворик детства» </w:t>
            </w:r>
          </w:p>
          <w:p w14:paraId="28B893A7" w14:textId="77777777" w:rsidR="00A63FF1" w:rsidRPr="00174CB4" w:rsidRDefault="00A63FF1" w:rsidP="00A63FF1">
            <w:pPr>
              <w:jc w:val="both"/>
            </w:pPr>
            <w:r w:rsidRPr="00174CB4">
              <w:t>(заявки не прошли конкурсный отбор)</w:t>
            </w:r>
          </w:p>
          <w:p w14:paraId="15337D2B" w14:textId="5DE89B27" w:rsidR="00A63FF1" w:rsidRPr="002843AB" w:rsidRDefault="00A63FF1" w:rsidP="00AD2AD0">
            <w:pPr>
              <w:jc w:val="both"/>
            </w:pPr>
          </w:p>
        </w:tc>
      </w:tr>
      <w:tr w:rsidR="002843AB" w:rsidRPr="002843AB" w14:paraId="6C0C51A5" w14:textId="77777777" w:rsidTr="00CF47B2">
        <w:tc>
          <w:tcPr>
            <w:tcW w:w="709" w:type="dxa"/>
          </w:tcPr>
          <w:p w14:paraId="3444A63D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28D4DCC9" w14:textId="703A6625" w:rsidR="00A63FF1" w:rsidRPr="002843AB" w:rsidRDefault="00A63FF1" w:rsidP="00A63FF1">
            <w:pPr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  <w:p w14:paraId="7A0B6105" w14:textId="59EB2133" w:rsidR="00A63FF1" w:rsidRPr="002843AB" w:rsidRDefault="00A63FF1" w:rsidP="00A63FF1">
            <w:r w:rsidRPr="002843AB">
              <w:t>Факт 2023=85/125*100= 68 %</w:t>
            </w:r>
          </w:p>
          <w:p w14:paraId="2195FC0C" w14:textId="009FDFAB" w:rsidR="00A63FF1" w:rsidRPr="002843AB" w:rsidRDefault="00A63FF1" w:rsidP="00A63FF1">
            <w:r w:rsidRPr="002843AB">
              <w:t>Факт 2024= 90/125*100= 72 %</w:t>
            </w:r>
          </w:p>
          <w:p w14:paraId="48AA3B37" w14:textId="0F5F7D16" w:rsidR="00A63FF1" w:rsidRPr="002843AB" w:rsidRDefault="00A63FF1" w:rsidP="00A63FF1">
            <w:r w:rsidRPr="002843AB">
              <w:t>План 2024=90/125*100= 72 %</w:t>
            </w:r>
          </w:p>
        </w:tc>
        <w:tc>
          <w:tcPr>
            <w:tcW w:w="1417" w:type="dxa"/>
          </w:tcPr>
          <w:p w14:paraId="45AE8AA4" w14:textId="77777777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5409915D" w14:textId="7D17AF68" w:rsidR="00A63FF1" w:rsidRPr="002843AB" w:rsidRDefault="00A63FF1" w:rsidP="00A63FF1">
            <w:pPr>
              <w:jc w:val="center"/>
            </w:pPr>
            <w:r w:rsidRPr="002843AB">
              <w:t>68</w:t>
            </w:r>
          </w:p>
        </w:tc>
        <w:tc>
          <w:tcPr>
            <w:tcW w:w="1134" w:type="dxa"/>
          </w:tcPr>
          <w:p w14:paraId="0E1A8A2F" w14:textId="6ABACA42" w:rsidR="00A63FF1" w:rsidRPr="002843AB" w:rsidRDefault="00A63FF1" w:rsidP="00A63FF1">
            <w:pPr>
              <w:jc w:val="center"/>
            </w:pPr>
            <w:r w:rsidRPr="002843AB">
              <w:t>72</w:t>
            </w:r>
          </w:p>
        </w:tc>
        <w:tc>
          <w:tcPr>
            <w:tcW w:w="1134" w:type="dxa"/>
          </w:tcPr>
          <w:p w14:paraId="2B33E80B" w14:textId="5EE2AD83" w:rsidR="00A63FF1" w:rsidRPr="002843AB" w:rsidRDefault="00A63FF1" w:rsidP="00A63FF1">
            <w:pPr>
              <w:jc w:val="center"/>
            </w:pPr>
            <w:r w:rsidRPr="002843AB">
              <w:t>72</w:t>
            </w:r>
          </w:p>
        </w:tc>
        <w:tc>
          <w:tcPr>
            <w:tcW w:w="3402" w:type="dxa"/>
          </w:tcPr>
          <w:p w14:paraId="0159C5F7" w14:textId="68E2681B" w:rsidR="00A63FF1" w:rsidRPr="002843AB" w:rsidRDefault="00A63FF1" w:rsidP="00916B25">
            <w:pPr>
              <w:jc w:val="both"/>
            </w:pPr>
            <w:r w:rsidRPr="002843AB">
              <w:t>По состоянию на 01.01.2</w:t>
            </w:r>
            <w:r w:rsidR="00916B25">
              <w:t>5 было заключено 90 соглашений.</w:t>
            </w:r>
          </w:p>
        </w:tc>
      </w:tr>
      <w:tr w:rsidR="002843AB" w:rsidRPr="002843AB" w14:paraId="28DF6BDA" w14:textId="77777777" w:rsidTr="00CF47B2">
        <w:tc>
          <w:tcPr>
            <w:tcW w:w="709" w:type="dxa"/>
          </w:tcPr>
          <w:p w14:paraId="2FA51AA2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6BFB893F" w14:textId="77777777" w:rsidR="00A63FF1" w:rsidRPr="002843AB" w:rsidRDefault="00A63FF1" w:rsidP="00A63FF1">
            <w:pPr>
              <w:contextualSpacing/>
              <w:jc w:val="both"/>
              <w:rPr>
                <w:b/>
              </w:rPr>
            </w:pPr>
            <w:r w:rsidRPr="002843AB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7" w:type="dxa"/>
          </w:tcPr>
          <w:p w14:paraId="2BCD3245" w14:textId="77777777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7A0E489F" w14:textId="4AA6F37E" w:rsidR="00A63FF1" w:rsidRPr="002843AB" w:rsidRDefault="00A63FF1" w:rsidP="00A63FF1">
            <w:pPr>
              <w:jc w:val="center"/>
            </w:pPr>
            <w:r w:rsidRPr="002843AB">
              <w:t>1</w:t>
            </w:r>
          </w:p>
        </w:tc>
        <w:tc>
          <w:tcPr>
            <w:tcW w:w="1134" w:type="dxa"/>
          </w:tcPr>
          <w:p w14:paraId="1104E783" w14:textId="5584A2BE" w:rsidR="00A63FF1" w:rsidRPr="002843AB" w:rsidRDefault="00A63FF1" w:rsidP="00A63FF1">
            <w:pPr>
              <w:jc w:val="center"/>
            </w:pPr>
            <w:r w:rsidRPr="002843AB">
              <w:t>1</w:t>
            </w:r>
          </w:p>
        </w:tc>
        <w:tc>
          <w:tcPr>
            <w:tcW w:w="1134" w:type="dxa"/>
          </w:tcPr>
          <w:p w14:paraId="043247DD" w14:textId="56D4E86E" w:rsidR="00A63FF1" w:rsidRPr="002843AB" w:rsidRDefault="00A63FF1" w:rsidP="00A63FF1">
            <w:pPr>
              <w:jc w:val="center"/>
            </w:pPr>
            <w:r w:rsidRPr="002843AB">
              <w:t>2</w:t>
            </w:r>
          </w:p>
        </w:tc>
        <w:tc>
          <w:tcPr>
            <w:tcW w:w="3402" w:type="dxa"/>
          </w:tcPr>
          <w:p w14:paraId="17FB9067" w14:textId="6CB679FA" w:rsidR="00A63FF1" w:rsidRPr="002843AB" w:rsidRDefault="002C3198" w:rsidP="003E53B7">
            <w:pPr>
              <w:jc w:val="both"/>
            </w:pPr>
            <w:r w:rsidRPr="002843AB">
              <w:rPr>
                <w:bCs/>
              </w:rPr>
              <w:t xml:space="preserve">Администрация поселения планировала </w:t>
            </w:r>
            <w:r w:rsidR="002843AB" w:rsidRPr="002843AB">
              <w:rPr>
                <w:bCs/>
              </w:rPr>
              <w:t>р</w:t>
            </w:r>
            <w:r w:rsidRPr="002843AB">
              <w:rPr>
                <w:bCs/>
              </w:rPr>
              <w:t>еализацию проекта кладбища х.</w:t>
            </w:r>
            <w:r w:rsidR="00AD2AD0">
              <w:rPr>
                <w:bCs/>
              </w:rPr>
              <w:t> </w:t>
            </w:r>
            <w:r w:rsidRPr="002843AB">
              <w:rPr>
                <w:bCs/>
              </w:rPr>
              <w:t>Верхний Киев, но е</w:t>
            </w:r>
            <w:r w:rsidR="003E53B7">
              <w:rPr>
                <w:bCs/>
              </w:rPr>
              <w:t>го</w:t>
            </w:r>
            <w:r w:rsidRPr="002843AB">
              <w:rPr>
                <w:bCs/>
              </w:rPr>
              <w:t xml:space="preserve"> не зас</w:t>
            </w:r>
            <w:r w:rsidR="002843AB" w:rsidRPr="002843AB">
              <w:rPr>
                <w:bCs/>
              </w:rPr>
              <w:t>ч</w:t>
            </w:r>
            <w:r w:rsidRPr="002843AB">
              <w:rPr>
                <w:bCs/>
              </w:rPr>
              <w:t>итали, хотя проект реализован</w:t>
            </w:r>
            <w:r w:rsidR="00AD2AD0">
              <w:rPr>
                <w:bCs/>
              </w:rPr>
              <w:t xml:space="preserve">. </w:t>
            </w:r>
          </w:p>
        </w:tc>
      </w:tr>
      <w:tr w:rsidR="002843AB" w:rsidRPr="002843AB" w14:paraId="69502DA6" w14:textId="77777777" w:rsidTr="00916B25">
        <w:tc>
          <w:tcPr>
            <w:tcW w:w="709" w:type="dxa"/>
          </w:tcPr>
          <w:p w14:paraId="1E395906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8D3E497" w14:textId="77777777" w:rsidR="00A63FF1" w:rsidRPr="002843AB" w:rsidRDefault="00A63FF1" w:rsidP="00A63FF1">
            <w:pPr>
              <w:contextualSpacing/>
              <w:rPr>
                <w:b/>
              </w:rPr>
            </w:pPr>
            <w:r w:rsidRPr="002843AB">
              <w:rPr>
                <w:b/>
              </w:rPr>
              <w:t>Доля 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  <w:p w14:paraId="2FA8D016" w14:textId="26F3DDE9" w:rsidR="00A63FF1" w:rsidRPr="002843AB" w:rsidRDefault="00A63FF1" w:rsidP="00A63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Факт 2023=123/127*100= 96,8 %  </w:t>
            </w:r>
          </w:p>
          <w:p w14:paraId="10701767" w14:textId="657D4BE1" w:rsidR="00A63FF1" w:rsidRPr="002843AB" w:rsidRDefault="00A63FF1" w:rsidP="00A63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Факт 2024=237/240*100= 98,8 %  </w:t>
            </w:r>
          </w:p>
          <w:p w14:paraId="1918F1F4" w14:textId="3625593D" w:rsidR="00A63FF1" w:rsidRPr="002843AB" w:rsidRDefault="00A63FF1" w:rsidP="00A63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 xml:space="preserve">План 2024=236/240*100= 98,3 % </w:t>
            </w:r>
          </w:p>
        </w:tc>
        <w:tc>
          <w:tcPr>
            <w:tcW w:w="1417" w:type="dxa"/>
          </w:tcPr>
          <w:p w14:paraId="6D06EF03" w14:textId="77777777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3E0C29F8" w14:textId="7E50B464" w:rsidR="00A63FF1" w:rsidRPr="002843AB" w:rsidRDefault="00A63FF1" w:rsidP="00A63FF1">
            <w:pPr>
              <w:jc w:val="center"/>
            </w:pPr>
            <w:r w:rsidRPr="002843AB">
              <w:t>96,8</w:t>
            </w:r>
          </w:p>
        </w:tc>
        <w:tc>
          <w:tcPr>
            <w:tcW w:w="1134" w:type="dxa"/>
          </w:tcPr>
          <w:p w14:paraId="73B2EDE0" w14:textId="1FD7BD01" w:rsidR="00A63FF1" w:rsidRPr="002843AB" w:rsidRDefault="00A63FF1" w:rsidP="00A63FF1">
            <w:pPr>
              <w:jc w:val="center"/>
            </w:pPr>
            <w:r w:rsidRPr="002843AB">
              <w:t>98,8</w:t>
            </w:r>
          </w:p>
        </w:tc>
        <w:tc>
          <w:tcPr>
            <w:tcW w:w="1134" w:type="dxa"/>
          </w:tcPr>
          <w:p w14:paraId="325CA1F6" w14:textId="206AD497" w:rsidR="00A63FF1" w:rsidRPr="002843AB" w:rsidRDefault="00A63FF1" w:rsidP="00A63FF1">
            <w:pPr>
              <w:jc w:val="center"/>
            </w:pPr>
            <w:r w:rsidRPr="002843AB">
              <w:t>98,3</w:t>
            </w:r>
          </w:p>
        </w:tc>
        <w:tc>
          <w:tcPr>
            <w:tcW w:w="3402" w:type="dxa"/>
          </w:tcPr>
          <w:p w14:paraId="26BE3050" w14:textId="71A66516" w:rsidR="00A63FF1" w:rsidRPr="002843AB" w:rsidRDefault="00862CD0" w:rsidP="003D2FEB">
            <w:pPr>
              <w:jc w:val="both"/>
            </w:pPr>
            <w:r w:rsidRPr="00A33A8F">
              <w:t>В связи с инвентаризацией объектов,</w:t>
            </w:r>
            <w:r>
              <w:t xml:space="preserve"> </w:t>
            </w:r>
            <w:r w:rsidRPr="00A33A8F">
              <w:t>находящихся в</w:t>
            </w:r>
            <w:r>
              <w:t xml:space="preserve"> муниципальной собственности, в реестр были внесены земельные участки СНТ, расположенные на территории поселения и оформленных в </w:t>
            </w:r>
            <w:r>
              <w:lastRenderedPageBreak/>
              <w:t>собственность. поселения.</w:t>
            </w:r>
            <w:r w:rsidRPr="00A33A8F">
              <w:t xml:space="preserve"> </w:t>
            </w:r>
            <w:r>
              <w:t xml:space="preserve"> </w:t>
            </w:r>
            <w:r w:rsidRPr="00A33A8F">
              <w:t xml:space="preserve"> </w:t>
            </w:r>
            <w:r>
              <w:t xml:space="preserve"> </w:t>
            </w:r>
          </w:p>
        </w:tc>
      </w:tr>
      <w:tr w:rsidR="002843AB" w:rsidRPr="002843AB" w14:paraId="725EC1D5" w14:textId="77777777" w:rsidTr="00CF47B2">
        <w:tc>
          <w:tcPr>
            <w:tcW w:w="709" w:type="dxa"/>
          </w:tcPr>
          <w:p w14:paraId="43F4292C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15FFFA7B" w14:textId="77777777" w:rsidR="00A63FF1" w:rsidRPr="002843AB" w:rsidRDefault="00A63FF1" w:rsidP="00A63FF1">
            <w:pPr>
              <w:jc w:val="both"/>
              <w:rPr>
                <w:rFonts w:eastAsia="Calibri"/>
                <w:b/>
              </w:rPr>
            </w:pPr>
            <w:r w:rsidRPr="002843AB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  <w:p w14:paraId="1838EDB8" w14:textId="186627C6" w:rsidR="00A63FF1" w:rsidRPr="002843AB" w:rsidRDefault="00A63FF1" w:rsidP="00A63FF1">
            <w:r w:rsidRPr="002843AB">
              <w:t>Факт 2023=214:214*100=100 %</w:t>
            </w:r>
          </w:p>
          <w:p w14:paraId="5B0465B0" w14:textId="1F73601E" w:rsidR="00A63FF1" w:rsidRPr="002843AB" w:rsidRDefault="00A63FF1" w:rsidP="00A63FF1">
            <w:r w:rsidRPr="002843AB">
              <w:t>Факт 2024=226:226*100=100 %</w:t>
            </w:r>
          </w:p>
          <w:p w14:paraId="08DC5E18" w14:textId="7294A97D" w:rsidR="00A63FF1" w:rsidRPr="002843AB" w:rsidRDefault="00A63FF1" w:rsidP="00A63FF1">
            <w:pPr>
              <w:rPr>
                <w:rFonts w:eastAsia="Calibri"/>
                <w:b/>
              </w:rPr>
            </w:pPr>
            <w:r w:rsidRPr="002843AB">
              <w:t>План 2024=226:226*100=100 %</w:t>
            </w:r>
          </w:p>
        </w:tc>
        <w:tc>
          <w:tcPr>
            <w:tcW w:w="1417" w:type="dxa"/>
          </w:tcPr>
          <w:p w14:paraId="091281C9" w14:textId="77777777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26099EF0" w14:textId="41C9F424" w:rsidR="00A63FF1" w:rsidRPr="002843AB" w:rsidRDefault="00A63FF1" w:rsidP="00A63FF1">
            <w:pPr>
              <w:jc w:val="center"/>
            </w:pPr>
            <w:r w:rsidRPr="002843AB">
              <w:t>100</w:t>
            </w:r>
          </w:p>
        </w:tc>
        <w:tc>
          <w:tcPr>
            <w:tcW w:w="1134" w:type="dxa"/>
          </w:tcPr>
          <w:p w14:paraId="5A232963" w14:textId="3DBE3419" w:rsidR="00A63FF1" w:rsidRPr="002843AB" w:rsidRDefault="00A63FF1" w:rsidP="00A63FF1">
            <w:pPr>
              <w:jc w:val="center"/>
            </w:pPr>
            <w:r w:rsidRPr="002843AB">
              <w:t xml:space="preserve">100 </w:t>
            </w:r>
          </w:p>
        </w:tc>
        <w:tc>
          <w:tcPr>
            <w:tcW w:w="1134" w:type="dxa"/>
          </w:tcPr>
          <w:p w14:paraId="11F7B0C1" w14:textId="5F4724B9" w:rsidR="00A63FF1" w:rsidRPr="002843AB" w:rsidRDefault="00A63FF1" w:rsidP="00A63FF1">
            <w:pPr>
              <w:jc w:val="center"/>
            </w:pPr>
            <w:r w:rsidRPr="002843AB">
              <w:t>100</w:t>
            </w:r>
          </w:p>
        </w:tc>
        <w:tc>
          <w:tcPr>
            <w:tcW w:w="3402" w:type="dxa"/>
          </w:tcPr>
          <w:p w14:paraId="6644A444" w14:textId="384F645E" w:rsidR="00A63FF1" w:rsidRPr="002843AB" w:rsidRDefault="002C1633" w:rsidP="003D2FEB">
            <w:pPr>
              <w:jc w:val="both"/>
            </w:pPr>
            <w:r>
              <w:t>В 2024 д</w:t>
            </w:r>
            <w:r w:rsidR="002C3198" w:rsidRPr="002843AB">
              <w:t xml:space="preserve">обавлено 12 новых </w:t>
            </w:r>
            <w:proofErr w:type="spellStart"/>
            <w:r w:rsidR="002C3198" w:rsidRPr="002843AB">
              <w:t>светоточек</w:t>
            </w:r>
            <w:proofErr w:type="spellEnd"/>
          </w:p>
        </w:tc>
      </w:tr>
      <w:tr w:rsidR="002843AB" w:rsidRPr="002843AB" w14:paraId="72A45B28" w14:textId="77777777" w:rsidTr="00CF47B2">
        <w:tc>
          <w:tcPr>
            <w:tcW w:w="709" w:type="dxa"/>
          </w:tcPr>
          <w:p w14:paraId="383EEF42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8DFE081" w14:textId="77777777" w:rsidR="00A63FF1" w:rsidRPr="002843AB" w:rsidRDefault="00A63FF1" w:rsidP="00A63FF1">
            <w:pPr>
              <w:jc w:val="both"/>
              <w:rPr>
                <w:rFonts w:eastAsia="Calibri"/>
                <w:b/>
              </w:rPr>
            </w:pPr>
            <w:r w:rsidRPr="002843AB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  <w:p w14:paraId="3D69A520" w14:textId="43B3B913" w:rsidR="00A63FF1" w:rsidRPr="002843AB" w:rsidRDefault="00A63FF1" w:rsidP="00A63FF1">
            <w:pPr>
              <w:jc w:val="both"/>
              <w:rPr>
                <w:rFonts w:eastAsia="Calibri"/>
              </w:rPr>
            </w:pPr>
            <w:r w:rsidRPr="002843AB">
              <w:rPr>
                <w:rFonts w:eastAsia="Calibri"/>
              </w:rPr>
              <w:t>Факт 2023=16,681/31,8*100=52,4 %</w:t>
            </w:r>
          </w:p>
          <w:p w14:paraId="1D48A254" w14:textId="60451883" w:rsidR="00A63FF1" w:rsidRPr="002843AB" w:rsidRDefault="00A63FF1" w:rsidP="00A63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eastAsia="Calibri" w:hAnsi="Times New Roman" w:cs="Times New Roman"/>
                <w:sz w:val="24"/>
                <w:szCs w:val="24"/>
              </w:rPr>
              <w:t>Факт 2024=16,036/31,8*100=50,4 %</w:t>
            </w:r>
          </w:p>
          <w:p w14:paraId="616D7996" w14:textId="01564969" w:rsidR="00A63FF1" w:rsidRPr="002843AB" w:rsidRDefault="00A63FF1" w:rsidP="00A63FF1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3AB">
              <w:rPr>
                <w:rFonts w:ascii="Times New Roman" w:eastAsia="Calibri" w:hAnsi="Times New Roman" w:cs="Times New Roman"/>
                <w:sz w:val="24"/>
                <w:szCs w:val="24"/>
              </w:rPr>
              <w:t>План 2024=16,68/31,8*100=52,4 %</w:t>
            </w:r>
          </w:p>
        </w:tc>
        <w:tc>
          <w:tcPr>
            <w:tcW w:w="1417" w:type="dxa"/>
          </w:tcPr>
          <w:p w14:paraId="3FDE5BB0" w14:textId="77777777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507053DD" w14:textId="3B1BEF82" w:rsidR="00A63FF1" w:rsidRPr="002843AB" w:rsidRDefault="00A63FF1" w:rsidP="00A63FF1">
            <w:pPr>
              <w:jc w:val="center"/>
            </w:pPr>
            <w:r w:rsidRPr="002843AB">
              <w:t>52,4</w:t>
            </w:r>
          </w:p>
        </w:tc>
        <w:tc>
          <w:tcPr>
            <w:tcW w:w="1134" w:type="dxa"/>
          </w:tcPr>
          <w:p w14:paraId="004E38D4" w14:textId="07617C92" w:rsidR="00A63FF1" w:rsidRPr="002843AB" w:rsidRDefault="00A63FF1" w:rsidP="00A63FF1">
            <w:pPr>
              <w:jc w:val="center"/>
            </w:pPr>
            <w:r w:rsidRPr="002843AB">
              <w:t>50,4</w:t>
            </w:r>
          </w:p>
        </w:tc>
        <w:tc>
          <w:tcPr>
            <w:tcW w:w="1134" w:type="dxa"/>
          </w:tcPr>
          <w:p w14:paraId="53E6D3F0" w14:textId="17207BC4" w:rsidR="00A63FF1" w:rsidRPr="002843AB" w:rsidRDefault="00A63FF1" w:rsidP="00A63FF1">
            <w:pPr>
              <w:jc w:val="center"/>
            </w:pPr>
            <w:r w:rsidRPr="002843AB">
              <w:t>52,4</w:t>
            </w:r>
          </w:p>
        </w:tc>
        <w:tc>
          <w:tcPr>
            <w:tcW w:w="3402" w:type="dxa"/>
          </w:tcPr>
          <w:p w14:paraId="595D7D7F" w14:textId="780D3EDB" w:rsidR="00A63FF1" w:rsidRPr="00174CB4" w:rsidRDefault="002C3198" w:rsidP="002C163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CB4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174CB4">
              <w:rPr>
                <w:rFonts w:ascii="Times New Roman" w:hAnsi="Times New Roman" w:cs="Times New Roman"/>
                <w:sz w:val="24"/>
                <w:szCs w:val="24"/>
              </w:rPr>
              <w:t xml:space="preserve"> 0,645 км ул.</w:t>
            </w:r>
            <w:r w:rsidR="002C1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CB4">
              <w:rPr>
                <w:rFonts w:ascii="Times New Roman" w:hAnsi="Times New Roman" w:cs="Times New Roman"/>
                <w:sz w:val="24"/>
                <w:szCs w:val="24"/>
              </w:rPr>
              <w:t>Луговая х.</w:t>
            </w:r>
            <w:r w:rsidR="002C1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74CB4">
              <w:rPr>
                <w:rFonts w:ascii="Times New Roman" w:hAnsi="Times New Roman" w:cs="Times New Roman"/>
                <w:sz w:val="24"/>
                <w:szCs w:val="24"/>
              </w:rPr>
              <w:t>Иванченково</w:t>
            </w:r>
            <w:proofErr w:type="spellEnd"/>
            <w:r w:rsidRPr="00174CB4">
              <w:rPr>
                <w:rFonts w:ascii="Times New Roman" w:hAnsi="Times New Roman" w:cs="Times New Roman"/>
                <w:sz w:val="24"/>
                <w:szCs w:val="24"/>
              </w:rPr>
              <w:t xml:space="preserve"> (дамба) </w:t>
            </w:r>
            <w:r w:rsidRPr="0017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2843AB" w:rsidRPr="002843AB" w14:paraId="769A6E9D" w14:textId="77777777" w:rsidTr="00CF47B2">
        <w:tc>
          <w:tcPr>
            <w:tcW w:w="709" w:type="dxa"/>
          </w:tcPr>
          <w:p w14:paraId="264A0E8F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21D55B3" w14:textId="77777777" w:rsidR="00A63FF1" w:rsidRPr="002843AB" w:rsidRDefault="00A63FF1" w:rsidP="00A63FF1">
            <w:pPr>
              <w:jc w:val="both"/>
              <w:rPr>
                <w:b/>
              </w:rPr>
            </w:pPr>
            <w:r w:rsidRPr="002843AB">
              <w:rPr>
                <w:b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14:paraId="3A6D6E06" w14:textId="063B788C" w:rsidR="00A63FF1" w:rsidRPr="002843AB" w:rsidRDefault="00A63FF1" w:rsidP="00A63FF1">
            <w:pPr>
              <w:ind w:left="-108" w:right="-107"/>
              <w:contextualSpacing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1322A64A" w14:textId="4EF70860" w:rsidR="00A63FF1" w:rsidRPr="002843AB" w:rsidRDefault="00A63FF1" w:rsidP="00A63FF1">
            <w:pPr>
              <w:jc w:val="center"/>
            </w:pPr>
            <w:r w:rsidRPr="002843AB">
              <w:t>2,2</w:t>
            </w:r>
          </w:p>
        </w:tc>
        <w:tc>
          <w:tcPr>
            <w:tcW w:w="1134" w:type="dxa"/>
          </w:tcPr>
          <w:p w14:paraId="335221A7" w14:textId="25ED4D92" w:rsidR="00A63FF1" w:rsidRPr="002843AB" w:rsidRDefault="00A63FF1" w:rsidP="00A63FF1">
            <w:pPr>
              <w:jc w:val="center"/>
            </w:pPr>
            <w:r w:rsidRPr="002843AB">
              <w:t>2,6</w:t>
            </w:r>
          </w:p>
        </w:tc>
        <w:tc>
          <w:tcPr>
            <w:tcW w:w="1134" w:type="dxa"/>
          </w:tcPr>
          <w:p w14:paraId="70E1C30E" w14:textId="7875633F" w:rsidR="00A63FF1" w:rsidRPr="002843AB" w:rsidRDefault="00A63FF1" w:rsidP="00A63FF1">
            <w:pPr>
              <w:jc w:val="center"/>
            </w:pPr>
            <w:r w:rsidRPr="002843AB">
              <w:t>2,2</w:t>
            </w:r>
          </w:p>
        </w:tc>
        <w:tc>
          <w:tcPr>
            <w:tcW w:w="3402" w:type="dxa"/>
          </w:tcPr>
          <w:p w14:paraId="2004E38D" w14:textId="679A4D74" w:rsidR="00A63FF1" w:rsidRPr="002843AB" w:rsidRDefault="002C1633" w:rsidP="00A63FF1">
            <w:pPr>
              <w:jc w:val="both"/>
            </w:pPr>
            <w:r>
              <w:t xml:space="preserve">В </w:t>
            </w:r>
            <w:r w:rsidR="00174CB4">
              <w:t>х</w:t>
            </w:r>
            <w:r w:rsidR="002C3198" w:rsidRPr="002843AB">
              <w:t>.</w:t>
            </w:r>
            <w:r>
              <w:t> </w:t>
            </w:r>
            <w:r w:rsidR="002C3198" w:rsidRPr="002843AB">
              <w:t>Верхний Киев по программе инициативного бюджетирования установлен забор.</w:t>
            </w:r>
          </w:p>
        </w:tc>
      </w:tr>
      <w:tr w:rsidR="002843AB" w:rsidRPr="002843AB" w14:paraId="0F9505FE" w14:textId="77777777" w:rsidTr="00CF47B2">
        <w:tc>
          <w:tcPr>
            <w:tcW w:w="709" w:type="dxa"/>
          </w:tcPr>
          <w:p w14:paraId="1D926770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ACAA70A" w14:textId="7CCE93D6" w:rsidR="00A63FF1" w:rsidRPr="002843AB" w:rsidRDefault="00A63FF1" w:rsidP="00A63FF1">
            <w:pPr>
              <w:snapToGrid w:val="0"/>
              <w:jc w:val="both"/>
              <w:rPr>
                <w:b/>
              </w:rPr>
            </w:pPr>
            <w:r w:rsidRPr="002843AB">
              <w:rPr>
                <w:b/>
              </w:rPr>
              <w:t>Доля населения, принявшего участие в выполнении нормативов испытаний (тестов) 7-18 ступеней Всероссийского физкультурно-спортивного комплекса «Готов к труду и обороне» (ГТО), в численности населения 18-79 лет</w:t>
            </w:r>
          </w:p>
          <w:p w14:paraId="1B76E215" w14:textId="65E4BA6E" w:rsidR="00A63FF1" w:rsidRPr="002843AB" w:rsidRDefault="00A63FF1" w:rsidP="00A63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2023=55/921*100=5,98 %</w:t>
            </w:r>
          </w:p>
          <w:p w14:paraId="3ACC02FD" w14:textId="78195E70" w:rsidR="00A63FF1" w:rsidRPr="002843AB" w:rsidRDefault="00A63FF1" w:rsidP="00A63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Факт 2024=55/921*100=5,98 %</w:t>
            </w:r>
          </w:p>
          <w:p w14:paraId="1496E478" w14:textId="06697061" w:rsidR="00A63FF1" w:rsidRPr="002843AB" w:rsidRDefault="00A63FF1" w:rsidP="00A63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План 2024=55/921*100=5,98 %</w:t>
            </w:r>
          </w:p>
        </w:tc>
        <w:tc>
          <w:tcPr>
            <w:tcW w:w="1417" w:type="dxa"/>
          </w:tcPr>
          <w:p w14:paraId="7BC78C95" w14:textId="77777777" w:rsidR="00A63FF1" w:rsidRPr="002843AB" w:rsidRDefault="00A63FF1" w:rsidP="00A63FF1">
            <w:pPr>
              <w:snapToGrid w:val="0"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31692ACA" w14:textId="19A8115C" w:rsidR="00A63FF1" w:rsidRPr="002843AB" w:rsidRDefault="00A63FF1" w:rsidP="00A63FF1">
            <w:pPr>
              <w:contextualSpacing/>
              <w:jc w:val="center"/>
            </w:pPr>
            <w:r w:rsidRPr="002843AB">
              <w:t>5,98</w:t>
            </w:r>
          </w:p>
        </w:tc>
        <w:tc>
          <w:tcPr>
            <w:tcW w:w="1134" w:type="dxa"/>
          </w:tcPr>
          <w:p w14:paraId="2A9B4833" w14:textId="4A0C35FC" w:rsidR="00A63FF1" w:rsidRPr="002843AB" w:rsidRDefault="00A63FF1" w:rsidP="00A63FF1">
            <w:pPr>
              <w:jc w:val="center"/>
            </w:pPr>
            <w:r w:rsidRPr="002843AB">
              <w:t>5,98</w:t>
            </w:r>
          </w:p>
        </w:tc>
        <w:tc>
          <w:tcPr>
            <w:tcW w:w="1134" w:type="dxa"/>
          </w:tcPr>
          <w:p w14:paraId="222D8493" w14:textId="340170ED" w:rsidR="00A63FF1" w:rsidRPr="002843AB" w:rsidRDefault="00A63FF1" w:rsidP="00A63FF1">
            <w:pPr>
              <w:jc w:val="center"/>
            </w:pPr>
            <w:r w:rsidRPr="002843AB">
              <w:t>5,98</w:t>
            </w:r>
          </w:p>
        </w:tc>
        <w:tc>
          <w:tcPr>
            <w:tcW w:w="3402" w:type="dxa"/>
          </w:tcPr>
          <w:p w14:paraId="4743D025" w14:textId="1EA7573E" w:rsidR="00A63FF1" w:rsidRPr="002843AB" w:rsidRDefault="00A63FF1" w:rsidP="00A63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</w:rPr>
              <w:t>В выполнении нормативов ГТО 7-18 ступеней приняли участие 55 человек</w:t>
            </w:r>
          </w:p>
        </w:tc>
      </w:tr>
      <w:tr w:rsidR="002843AB" w:rsidRPr="002843AB" w14:paraId="18727213" w14:textId="77777777" w:rsidTr="00CF47B2">
        <w:tc>
          <w:tcPr>
            <w:tcW w:w="709" w:type="dxa"/>
          </w:tcPr>
          <w:p w14:paraId="63139FFD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2ED8807" w14:textId="77777777" w:rsidR="00A63FF1" w:rsidRPr="002843AB" w:rsidRDefault="00A63FF1" w:rsidP="00A63FF1">
            <w:pPr>
              <w:snapToGrid w:val="0"/>
              <w:rPr>
                <w:b/>
              </w:rPr>
            </w:pPr>
            <w:r w:rsidRPr="002843AB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14:paraId="6D882339" w14:textId="77777777" w:rsidR="00A63FF1" w:rsidRPr="002843AB" w:rsidRDefault="00A63FF1" w:rsidP="00A63FF1">
            <w:pPr>
              <w:snapToGrid w:val="0"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1ABC21C5" w14:textId="4C64CF5E" w:rsidR="00A63FF1" w:rsidRPr="002843AB" w:rsidRDefault="00A63FF1" w:rsidP="00A63FF1">
            <w:pPr>
              <w:jc w:val="center"/>
            </w:pPr>
            <w:r w:rsidRPr="002843AB">
              <w:t>7</w:t>
            </w:r>
          </w:p>
        </w:tc>
        <w:tc>
          <w:tcPr>
            <w:tcW w:w="1134" w:type="dxa"/>
          </w:tcPr>
          <w:p w14:paraId="3E6847E0" w14:textId="1F7A8F3C" w:rsidR="00A63FF1" w:rsidRPr="002843AB" w:rsidRDefault="00A63FF1" w:rsidP="00A63FF1">
            <w:pPr>
              <w:jc w:val="center"/>
            </w:pPr>
            <w:r w:rsidRPr="002843AB">
              <w:t>9</w:t>
            </w:r>
          </w:p>
        </w:tc>
        <w:tc>
          <w:tcPr>
            <w:tcW w:w="1134" w:type="dxa"/>
          </w:tcPr>
          <w:p w14:paraId="419A36E3" w14:textId="2908AFAB" w:rsidR="00A63FF1" w:rsidRPr="002843AB" w:rsidRDefault="00A63FF1" w:rsidP="00A63FF1">
            <w:pPr>
              <w:jc w:val="center"/>
            </w:pPr>
            <w:r w:rsidRPr="002843AB">
              <w:t>7</w:t>
            </w:r>
          </w:p>
        </w:tc>
        <w:tc>
          <w:tcPr>
            <w:tcW w:w="3402" w:type="dxa"/>
          </w:tcPr>
          <w:p w14:paraId="4FC6B9C8" w14:textId="36B4D362" w:rsidR="00A63FF1" w:rsidRDefault="002C1633" w:rsidP="003D2FEB">
            <w:pPr>
              <w:jc w:val="both"/>
            </w:pPr>
            <w:r>
              <w:rPr>
                <w:sz w:val="22"/>
              </w:rPr>
              <w:t>1.Всероссийский творческий конкурс, посвященный 80-летию со дня снятия блокады Ленинграда (онлайн).</w:t>
            </w:r>
          </w:p>
          <w:p w14:paraId="0B67515F" w14:textId="68A8AE14" w:rsidR="002C1633" w:rsidRPr="000B3039" w:rsidRDefault="002C1633" w:rsidP="003D2FEB">
            <w:pPr>
              <w:jc w:val="both"/>
            </w:pPr>
            <w:r>
              <w:rPr>
                <w:sz w:val="22"/>
              </w:rPr>
              <w:t>2.</w:t>
            </w:r>
            <w:r w:rsidRPr="000B3039">
              <w:rPr>
                <w:sz w:val="22"/>
              </w:rPr>
              <w:t xml:space="preserve">Районный фестиваль художественной самодеятельности «Творческая </w:t>
            </w:r>
            <w:r>
              <w:rPr>
                <w:sz w:val="22"/>
              </w:rPr>
              <w:t>весна».</w:t>
            </w:r>
          </w:p>
          <w:p w14:paraId="3AB4CBAB" w14:textId="7A0275DA" w:rsidR="002C1633" w:rsidRDefault="002C1633" w:rsidP="003D2FEB">
            <w:pPr>
              <w:jc w:val="both"/>
            </w:pPr>
            <w:r>
              <w:rPr>
                <w:sz w:val="22"/>
              </w:rPr>
              <w:t>3.</w:t>
            </w:r>
            <w:r w:rsidRPr="000B3039">
              <w:rPr>
                <w:sz w:val="22"/>
              </w:rPr>
              <w:t xml:space="preserve">Районный фестиваль национальных культур «Мы не </w:t>
            </w:r>
            <w:r w:rsidRPr="000B3039">
              <w:rPr>
                <w:sz w:val="22"/>
              </w:rPr>
              <w:lastRenderedPageBreak/>
              <w:t>разные»</w:t>
            </w:r>
            <w:r>
              <w:rPr>
                <w:sz w:val="22"/>
              </w:rPr>
              <w:t>.</w:t>
            </w:r>
          </w:p>
          <w:p w14:paraId="01292046" w14:textId="21C7DA46" w:rsidR="002C1633" w:rsidRPr="00B45B27" w:rsidRDefault="002C1633" w:rsidP="003D2F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4.</w:t>
            </w:r>
            <w:r w:rsidRPr="00B45B27">
              <w:t xml:space="preserve"> </w:t>
            </w:r>
            <w:r w:rsidRPr="00B45B27">
              <w:rPr>
                <w:rFonts w:ascii="Times New Roman" w:hAnsi="Times New Roman"/>
                <w:sz w:val="24"/>
                <w:szCs w:val="24"/>
              </w:rPr>
              <w:t>Районный фестиваль "Живи, родник, живи!"</w:t>
            </w:r>
          </w:p>
          <w:p w14:paraId="4B703038" w14:textId="45152C2E" w:rsidR="002C1633" w:rsidRDefault="007D4644" w:rsidP="003D2FEB">
            <w:pPr>
              <w:jc w:val="both"/>
            </w:pPr>
            <w:r>
              <w:t>5. Районный конкурс плакатов «Край мой-капелька России».</w:t>
            </w:r>
          </w:p>
          <w:p w14:paraId="584CBE98" w14:textId="0F5EA848" w:rsidR="007D4644" w:rsidRDefault="007D4644" w:rsidP="003D2FEB">
            <w:pPr>
              <w:jc w:val="both"/>
              <w:rPr>
                <w:b/>
              </w:rPr>
            </w:pPr>
            <w:r w:rsidRPr="00134C81">
              <w:rPr>
                <w:b/>
              </w:rPr>
              <w:t>Организация мероприятий</w:t>
            </w:r>
            <w:r>
              <w:rPr>
                <w:b/>
              </w:rPr>
              <w:t>:</w:t>
            </w:r>
          </w:p>
          <w:p w14:paraId="220263ED" w14:textId="50C03877" w:rsidR="007D4644" w:rsidRPr="000A4C9B" w:rsidRDefault="007D4644" w:rsidP="003D2FEB">
            <w:pPr>
              <w:jc w:val="both"/>
              <w:rPr>
                <w:b/>
                <w:i/>
              </w:rPr>
            </w:pPr>
            <w:r>
              <w:t>1.</w:t>
            </w:r>
            <w:r w:rsidRPr="000A4C9B">
              <w:t xml:space="preserve"> </w:t>
            </w:r>
            <w:proofErr w:type="spellStart"/>
            <w:r w:rsidRPr="000A4C9B">
              <w:t>Межпоселенческий</w:t>
            </w:r>
            <w:proofErr w:type="spellEnd"/>
            <w:r w:rsidRPr="000A4C9B">
              <w:t xml:space="preserve"> фестиваль «Барыня - капуста»</w:t>
            </w:r>
          </w:p>
          <w:p w14:paraId="54388C7D" w14:textId="57495DD5" w:rsidR="002C1633" w:rsidRPr="002843AB" w:rsidRDefault="007D4644" w:rsidP="003D2FEB">
            <w:pPr>
              <w:pStyle w:val="a3"/>
              <w:jc w:val="both"/>
            </w:pPr>
            <w:r>
              <w:t>2.</w:t>
            </w:r>
            <w:r w:rsidRPr="00B45B27">
              <w:t xml:space="preserve"> </w:t>
            </w:r>
            <w:r w:rsidRPr="00B45B27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27">
              <w:rPr>
                <w:rFonts w:ascii="Times New Roman" w:hAnsi="Times New Roman"/>
                <w:sz w:val="24"/>
                <w:szCs w:val="24"/>
              </w:rPr>
              <w:t>фестиваль «Парад пародий»</w:t>
            </w:r>
          </w:p>
        </w:tc>
      </w:tr>
      <w:tr w:rsidR="002843AB" w:rsidRPr="002843AB" w14:paraId="431084A4" w14:textId="77777777" w:rsidTr="00CF47B2">
        <w:tc>
          <w:tcPr>
            <w:tcW w:w="709" w:type="dxa"/>
          </w:tcPr>
          <w:p w14:paraId="798F147F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011244ED" w14:textId="77777777" w:rsidR="00A63FF1" w:rsidRPr="002843AB" w:rsidRDefault="00A63FF1" w:rsidP="00A63FF1">
            <w:pPr>
              <w:snapToGrid w:val="0"/>
              <w:jc w:val="both"/>
              <w:rPr>
                <w:b/>
              </w:rPr>
            </w:pPr>
            <w:r w:rsidRPr="002843AB">
              <w:rPr>
                <w:b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14:paraId="34EAE415" w14:textId="77777777" w:rsidR="00A63FF1" w:rsidRPr="002843AB" w:rsidRDefault="00A63FF1" w:rsidP="00A63FF1">
            <w:pPr>
              <w:snapToGrid w:val="0"/>
              <w:jc w:val="center"/>
            </w:pPr>
            <w:r w:rsidRPr="002843AB">
              <w:t>%</w:t>
            </w:r>
          </w:p>
        </w:tc>
        <w:tc>
          <w:tcPr>
            <w:tcW w:w="992" w:type="dxa"/>
          </w:tcPr>
          <w:p w14:paraId="323CC502" w14:textId="77777777" w:rsidR="00A63FF1" w:rsidRPr="002843AB" w:rsidRDefault="00A63FF1" w:rsidP="00A63FF1">
            <w:pPr>
              <w:jc w:val="center"/>
            </w:pPr>
            <w:r w:rsidRPr="002843AB">
              <w:t>100</w:t>
            </w:r>
          </w:p>
        </w:tc>
        <w:tc>
          <w:tcPr>
            <w:tcW w:w="1134" w:type="dxa"/>
          </w:tcPr>
          <w:p w14:paraId="605EB8BA" w14:textId="77777777" w:rsidR="00A63FF1" w:rsidRPr="002843AB" w:rsidRDefault="00A63FF1" w:rsidP="00A63FF1">
            <w:pPr>
              <w:jc w:val="center"/>
            </w:pPr>
            <w:r w:rsidRPr="002843AB">
              <w:t>100</w:t>
            </w:r>
          </w:p>
        </w:tc>
        <w:tc>
          <w:tcPr>
            <w:tcW w:w="1134" w:type="dxa"/>
          </w:tcPr>
          <w:p w14:paraId="2CE19558" w14:textId="77777777" w:rsidR="00A63FF1" w:rsidRPr="002843AB" w:rsidRDefault="00A63FF1" w:rsidP="00A63FF1">
            <w:pPr>
              <w:jc w:val="center"/>
            </w:pPr>
            <w:r w:rsidRPr="002843AB">
              <w:t>80</w:t>
            </w:r>
          </w:p>
        </w:tc>
        <w:tc>
          <w:tcPr>
            <w:tcW w:w="3402" w:type="dxa"/>
          </w:tcPr>
          <w:p w14:paraId="652B23FD" w14:textId="77777777" w:rsidR="00A63FF1" w:rsidRPr="002843AB" w:rsidRDefault="00A63FF1" w:rsidP="00A63FF1">
            <w:pPr>
              <w:jc w:val="center"/>
            </w:pPr>
          </w:p>
        </w:tc>
      </w:tr>
      <w:tr w:rsidR="002843AB" w:rsidRPr="002843AB" w14:paraId="480C7723" w14:textId="77777777" w:rsidTr="00CF47B2">
        <w:trPr>
          <w:trHeight w:val="699"/>
        </w:trPr>
        <w:tc>
          <w:tcPr>
            <w:tcW w:w="709" w:type="dxa"/>
          </w:tcPr>
          <w:p w14:paraId="6BBD5859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59F34731" w14:textId="77777777" w:rsidR="00A63FF1" w:rsidRPr="002843AB" w:rsidRDefault="00A63FF1" w:rsidP="00A63FF1">
            <w:pPr>
              <w:snapToGrid w:val="0"/>
              <w:jc w:val="both"/>
              <w:rPr>
                <w:b/>
              </w:rPr>
            </w:pPr>
            <w:r w:rsidRPr="002843AB">
              <w:rPr>
                <w:b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14:paraId="64FEFC30" w14:textId="77777777" w:rsidR="00A63FF1" w:rsidRPr="002843AB" w:rsidRDefault="00A63FF1" w:rsidP="00A63FF1">
            <w:pPr>
              <w:snapToGrid w:val="0"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251DB207" w14:textId="77777777" w:rsidR="00A63FF1" w:rsidRPr="002843AB" w:rsidRDefault="00A63FF1" w:rsidP="00A63FF1">
            <w:pPr>
              <w:jc w:val="center"/>
            </w:pPr>
            <w:r w:rsidRPr="002843AB">
              <w:t>1</w:t>
            </w:r>
          </w:p>
        </w:tc>
        <w:tc>
          <w:tcPr>
            <w:tcW w:w="1134" w:type="dxa"/>
          </w:tcPr>
          <w:p w14:paraId="7F43824B" w14:textId="5CD33151" w:rsidR="00A63FF1" w:rsidRPr="002843AB" w:rsidRDefault="00A63FF1" w:rsidP="00A63FF1">
            <w:pPr>
              <w:jc w:val="center"/>
            </w:pPr>
            <w:r w:rsidRPr="002843AB">
              <w:t>1</w:t>
            </w:r>
          </w:p>
        </w:tc>
        <w:tc>
          <w:tcPr>
            <w:tcW w:w="1134" w:type="dxa"/>
          </w:tcPr>
          <w:p w14:paraId="5BEA6996" w14:textId="77777777" w:rsidR="00A63FF1" w:rsidRPr="002843AB" w:rsidRDefault="00A63FF1" w:rsidP="00A63FF1">
            <w:pPr>
              <w:jc w:val="center"/>
            </w:pPr>
            <w:r w:rsidRPr="002843AB">
              <w:t>1</w:t>
            </w:r>
          </w:p>
        </w:tc>
        <w:tc>
          <w:tcPr>
            <w:tcW w:w="3402" w:type="dxa"/>
          </w:tcPr>
          <w:p w14:paraId="4AE18086" w14:textId="7088C1D0" w:rsidR="00A63FF1" w:rsidRPr="002843AB" w:rsidRDefault="007D4644" w:rsidP="007D4644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</w:pPr>
            <w:r w:rsidRPr="007D4644">
              <w:rPr>
                <w:bCs/>
                <w:color w:val="1A1A1A"/>
                <w:kern w:val="36"/>
              </w:rPr>
              <w:t>Участие в онлайн – блок просветительской программы для государственных служащих</w:t>
            </w:r>
          </w:p>
        </w:tc>
      </w:tr>
      <w:tr w:rsidR="002843AB" w:rsidRPr="002843AB" w14:paraId="72793B02" w14:textId="77777777" w:rsidTr="00CF47B2">
        <w:trPr>
          <w:trHeight w:val="699"/>
        </w:trPr>
        <w:tc>
          <w:tcPr>
            <w:tcW w:w="709" w:type="dxa"/>
          </w:tcPr>
          <w:p w14:paraId="19C4E926" w14:textId="77777777" w:rsidR="00A63FF1" w:rsidRPr="002843AB" w:rsidRDefault="00A63FF1" w:rsidP="00A63F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14:paraId="32312269" w14:textId="4F7006C1" w:rsidR="00A63FF1" w:rsidRPr="002843AB" w:rsidRDefault="00A63FF1" w:rsidP="00A63FF1">
            <w:pPr>
              <w:snapToGrid w:val="0"/>
              <w:jc w:val="both"/>
              <w:rPr>
                <w:b/>
              </w:rPr>
            </w:pPr>
            <w:r w:rsidRPr="002843AB">
              <w:rPr>
                <w:b/>
              </w:rPr>
              <w:t>Участие 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417" w:type="dxa"/>
          </w:tcPr>
          <w:p w14:paraId="2201D430" w14:textId="3D61F3EA" w:rsidR="00A63FF1" w:rsidRPr="002843AB" w:rsidRDefault="00A63FF1" w:rsidP="00A63FF1">
            <w:pPr>
              <w:snapToGrid w:val="0"/>
              <w:jc w:val="center"/>
            </w:pPr>
            <w:r w:rsidRPr="002843AB">
              <w:t>единиц</w:t>
            </w:r>
          </w:p>
        </w:tc>
        <w:tc>
          <w:tcPr>
            <w:tcW w:w="992" w:type="dxa"/>
          </w:tcPr>
          <w:p w14:paraId="3B35F833" w14:textId="71D73810" w:rsidR="00A63FF1" w:rsidRPr="002843AB" w:rsidRDefault="00A63FF1" w:rsidP="00A63FF1">
            <w:pPr>
              <w:jc w:val="center"/>
            </w:pPr>
            <w:r w:rsidRPr="002843AB">
              <w:t>7</w:t>
            </w:r>
          </w:p>
        </w:tc>
        <w:tc>
          <w:tcPr>
            <w:tcW w:w="1134" w:type="dxa"/>
          </w:tcPr>
          <w:p w14:paraId="207F904D" w14:textId="46533A41" w:rsidR="00A63FF1" w:rsidRPr="002843AB" w:rsidRDefault="00A63FF1" w:rsidP="00A63FF1">
            <w:pPr>
              <w:jc w:val="center"/>
            </w:pPr>
            <w:r w:rsidRPr="002843AB">
              <w:t>17</w:t>
            </w:r>
          </w:p>
        </w:tc>
        <w:tc>
          <w:tcPr>
            <w:tcW w:w="1134" w:type="dxa"/>
          </w:tcPr>
          <w:p w14:paraId="58CF904B" w14:textId="3A1E8D60" w:rsidR="00A63FF1" w:rsidRPr="002843AB" w:rsidRDefault="00A63FF1" w:rsidP="00A63FF1">
            <w:pPr>
              <w:jc w:val="center"/>
            </w:pPr>
            <w:r w:rsidRPr="002843AB">
              <w:t>12</w:t>
            </w:r>
          </w:p>
        </w:tc>
        <w:tc>
          <w:tcPr>
            <w:tcW w:w="3402" w:type="dxa"/>
          </w:tcPr>
          <w:p w14:paraId="2DDF8189" w14:textId="77777777" w:rsidR="00A63FF1" w:rsidRPr="002843AB" w:rsidRDefault="00A63FF1" w:rsidP="00A63FF1">
            <w:pPr>
              <w:jc w:val="both"/>
            </w:pPr>
          </w:p>
        </w:tc>
      </w:tr>
    </w:tbl>
    <w:p w14:paraId="2143471E" w14:textId="77777777" w:rsidR="00AD1633" w:rsidRPr="002843AB" w:rsidRDefault="00AD1633" w:rsidP="00AD1633">
      <w:pPr>
        <w:contextualSpacing/>
      </w:pPr>
    </w:p>
    <w:p w14:paraId="2D0C15BA" w14:textId="77777777" w:rsidR="00F9460D" w:rsidRPr="002843AB" w:rsidRDefault="00F9460D"/>
    <w:sectPr w:rsidR="00F9460D" w:rsidRPr="002843AB" w:rsidSect="005C22F8">
      <w:pgSz w:w="16838" w:h="11906" w:orient="landscape" w:code="9"/>
      <w:pgMar w:top="425" w:right="680" w:bottom="567" w:left="1418" w:header="709" w:footer="709" w:gutter="0"/>
      <w:pgNumType w:start="8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633"/>
    <w:rsid w:val="00066DC3"/>
    <w:rsid w:val="00074705"/>
    <w:rsid w:val="00082CF2"/>
    <w:rsid w:val="000832B6"/>
    <w:rsid w:val="000A45F8"/>
    <w:rsid w:val="000A6DD4"/>
    <w:rsid w:val="000E61EF"/>
    <w:rsid w:val="0010265E"/>
    <w:rsid w:val="0013163D"/>
    <w:rsid w:val="00174CB4"/>
    <w:rsid w:val="002700B0"/>
    <w:rsid w:val="002843AB"/>
    <w:rsid w:val="002C1633"/>
    <w:rsid w:val="002C3198"/>
    <w:rsid w:val="002D7017"/>
    <w:rsid w:val="002F50AD"/>
    <w:rsid w:val="003562AC"/>
    <w:rsid w:val="00365BC0"/>
    <w:rsid w:val="003D2FEB"/>
    <w:rsid w:val="003E53B7"/>
    <w:rsid w:val="00415914"/>
    <w:rsid w:val="0056784A"/>
    <w:rsid w:val="00587A7B"/>
    <w:rsid w:val="00593D97"/>
    <w:rsid w:val="005F4872"/>
    <w:rsid w:val="006041B2"/>
    <w:rsid w:val="006206E7"/>
    <w:rsid w:val="0064168B"/>
    <w:rsid w:val="006578B4"/>
    <w:rsid w:val="00672569"/>
    <w:rsid w:val="00696136"/>
    <w:rsid w:val="006F3660"/>
    <w:rsid w:val="006F44D1"/>
    <w:rsid w:val="007025E1"/>
    <w:rsid w:val="007221B3"/>
    <w:rsid w:val="007430DC"/>
    <w:rsid w:val="0077255E"/>
    <w:rsid w:val="00783868"/>
    <w:rsid w:val="007D4644"/>
    <w:rsid w:val="00813F23"/>
    <w:rsid w:val="00862CD0"/>
    <w:rsid w:val="008A3676"/>
    <w:rsid w:val="008D4B04"/>
    <w:rsid w:val="009104F2"/>
    <w:rsid w:val="00916B25"/>
    <w:rsid w:val="009D3154"/>
    <w:rsid w:val="00A01BDC"/>
    <w:rsid w:val="00A63FF1"/>
    <w:rsid w:val="00AD1633"/>
    <w:rsid w:val="00AD2AD0"/>
    <w:rsid w:val="00B665B3"/>
    <w:rsid w:val="00C4419A"/>
    <w:rsid w:val="00C52250"/>
    <w:rsid w:val="00CB3EFE"/>
    <w:rsid w:val="00CF47B2"/>
    <w:rsid w:val="00D424BA"/>
    <w:rsid w:val="00D6129E"/>
    <w:rsid w:val="00DD1419"/>
    <w:rsid w:val="00ED2908"/>
    <w:rsid w:val="00F071AD"/>
    <w:rsid w:val="00F166AD"/>
    <w:rsid w:val="00F26CF8"/>
    <w:rsid w:val="00F9460D"/>
    <w:rsid w:val="00FF1C1D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CBB6"/>
  <w15:docId w15:val="{08ECA364-E289-4D43-A03F-24B57C0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B3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C1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Елена Ивановна</dc:creator>
  <cp:lastModifiedBy>Пользователь</cp:lastModifiedBy>
  <cp:revision>45</cp:revision>
  <dcterms:created xsi:type="dcterms:W3CDTF">2024-01-18T07:19:00Z</dcterms:created>
  <dcterms:modified xsi:type="dcterms:W3CDTF">2025-02-10T08:07:00Z</dcterms:modified>
</cp:coreProperties>
</file>